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Bahnstrasse 142, 8105 Regensdorf,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9303</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990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EP kein Bericht</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Slobodan Zec</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Bahnstrasse 142, 8105 Regensdorf</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Slobodan Zec</w:t>
            </w:r>
            <w:bookmarkEnd w:id="12"/>
            <w:r w:rsidRPr="00FF365E">
              <w:rPr>
                <w:sz w:val="24"/>
                <w:szCs w:val="24"/>
                <w:lang w:val="en-GB"/>
              </w:rPr>
              <w:t xml:space="preserve"> </w:t>
            </w:r>
            <w:bookmarkStart w:id="13" w:name="OLE_LINK13"/>
            <w:r w:rsidRPr="00FF365E">
              <w:rPr>
                <w:sz w:val="24"/>
                <w:szCs w:val="24"/>
                <w:lang w:val="en-GB"/>
              </w:rPr>
              <w:t xml:space="preserve">Bahnstrasse 142, 8105 Regensdorf</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16 June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Unbehandelter Asphalt (Öltankraum)</w:t>
      </w:r>
      <w:r>
        <w:rPr>
          <w:sz w:val="24"/>
          <w:szCs w:val="24"/>
        </w:rPr>
        <w:t xml:space="preserve">  </w:t>
      </w:r>
      <w:br/>
      <w:r>
        <w:rPr>
          <w:sz w:val="24"/>
          <w:szCs w:val="24"/>
        </w:rPr>
        <w:t xml:space="preserve">Nicht behandelt wurde der Asphalt im Öltankraum, bei dem Verdacht auf PAK besteht, und seine Untersuchung durch das Labor CAM durchgeführt wurde.  </w:t>
      </w:r>
      <w:br/>
      <w:r>
        <w:rPr>
          <w:sz w:val="24"/>
          <w:szCs w:val="24"/>
        </w:rPr>
        <w:t xml:space="preserve">Der nicht behandelte Asphalt aus Probe-ID APC_01 sollte von Schadstoffsanierern zurückgebaut werden, unter Einhaltung der Richtlinien 33001 und mit dem LVA Code 17 03 01 in einer Deponie Typ E entsorgt werden.</w:t>
      </w:r>
      <w:br/>
      <w:r>
        <w:rPr>
          <w:sz w:val="24"/>
          <w:szCs w:val="24"/>
        </w:rPr>
        <w:t xml:space="preserve"/>
      </w:r>
      <w:br/>
      <w:r>
        <w:rPr>
          <w:sz w:val="24"/>
          <w:szCs w:val="24"/>
          <w:b w:val="1"/>
          <w:bCs w:val="1"/>
        </w:rPr>
        <w:t xml:space="preserve"/>
      </w:r>
      <w:r>
        <w:rPr>
          <w:sz w:val="24"/>
          <w:szCs w:val="24"/>
          <w:b w:val="1"/>
          <w:bCs w:val="1"/>
        </w:rPr>
        <w:t xml:space="preserve">Faserzement (Map 17)</w:t>
      </w:r>
      <w:r>
        <w:rPr>
          <w:sz w:val="24"/>
          <w:szCs w:val="24"/>
        </w:rPr>
        <w:t xml:space="preserve">  </w:t>
      </w:r>
      <w:br/>
      <w:r>
        <w:rPr>
          <w:sz w:val="24"/>
          <w:szCs w:val="24"/>
        </w:rPr>
        <w:t xml:space="preserve">Faserzement aus Map 17 enthält Asbest, der Laborbefund wurde durch PSI ermittelt.  </w:t>
      </w:r>
      <w:br/>
      <w:r>
        <w:rPr>
          <w:sz w:val="24"/>
          <w:szCs w:val="24"/>
        </w:rPr>
        <w:t xml:space="preserve">Faserzement aus Map 17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Thermoisolator (Aussenwand)</w:t>
      </w:r>
      <w:r>
        <w:rPr>
          <w:sz w:val="24"/>
          <w:szCs w:val="24"/>
        </w:rPr>
        <w:t xml:space="preserve">  </w:t>
      </w:r>
      <w:br/>
      <w:r>
        <w:rPr>
          <w:sz w:val="24"/>
          <w:szCs w:val="24"/>
        </w:rPr>
        <w:t xml:space="preserve">In der Aussenwand ist ein Thermoisolator verbaut, der PCB enthält, und Proben von inLab analysiert wurden.  </w:t>
      </w:r>
      <w:br/>
      <w:r>
        <w:rPr>
          <w:sz w:val="24"/>
          <w:szCs w:val="24"/>
        </w:rPr>
        <w:t xml:space="preserve">Die Sanierung des auf PCB getesteten Thermoisolators aus der Aussenwand durch Schadstoffsanierer erfolgt gemäss Richtlinien 33031, mit dem LVA Code 17 06 94NK, und er wird in einer Deponie Typ D abgelegt.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Fassade
</w:t>
            </w:r>
          </w:p>
          <w:p>
            <w:pPr/>
            <w:r>
              <w:rPr/>
              <w:t xml:space="preserve">EG-DG
</w:t>
            </w:r>
          </w:p>
          <w:p>
            <w:pPr/>
            <w:r>
              <w:rPr/>
              <w:t xml:space="preserve">Dilatations Fugen
</w:t>
            </w:r>
          </w:p>
        </w:tc>
        <w:tc>
          <w:tcPr>
            <w:shd w:val="clear" w:fill="green"/>
            <w:noWrap/>
          </w:tcPr>
          <w:p>
            <w:pPr/>
            <w:r>
              <w:rPr/>
              <w:t xml:space="preserve">VM-1
</w:t>
            </w:r>
          </w:p>
          <w:p>
            <w:pPr/>
            <w:r>
              <w:rPr/>
              <w:t xml:space="preserve">Fugendichtstoff
</w:t>
            </w:r>
          </w:p>
          <w:p>
            <w:pPr/>
            <w:r>
              <w:rPr/>
              <w:t xml:space="preserve">Fassade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