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Dorfstrasse 20, 8881 Tscherlach,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939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1972</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964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manuel Helg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Bündenstrasse 37, 8880 Walenstadt</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manuel Helg</w:t>
            </w:r>
            <w:bookmarkEnd w:id="12"/>
            <w:r w:rsidRPr="00FF365E">
              <w:rPr>
                <w:sz w:val="24"/>
                <w:szCs w:val="24"/>
                <w:lang w:val="en-GB"/>
              </w:rPr>
              <w:t xml:space="preserve"> </w:t>
            </w:r>
            <w:bookmarkStart w:id="13" w:name="OLE_LINK13"/>
            <w:r w:rsidRPr="00FF365E">
              <w:rPr>
                <w:sz w:val="24"/>
                <w:szCs w:val="24"/>
                <w:lang w:val="en-GB"/>
              </w:rPr>
              <w:t xml:space="preserve">Bündenstrasse 37, 8880 Walenstadt</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2026-06-03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Gang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MaP-3, Plattenkleber:</w:t>
      </w:r>
      <w:r>
        <w:rPr>
          <w:sz w:val="24"/>
          <w:szCs w:val="24"/>
        </w:rPr>
        <w:t xml:space="preserve"> Plattenkleber aus der Probe MaP-3 im Badezimmer im Erdgeschoss an der Wand enthält Asbest und wurde durch ein Labor bestätigt. Dieser Plattenkleber muss durch Schadstoffsanierer gemäss den Richtlinien EKAS 6503 Kap. 7 und mit dem lva Code 17 06 05 S entsorgt werden.</w:t>
      </w:r>
      <w:br/>
      <w:r>
        <w:rPr>
          <w:sz w:val="24"/>
          <w:szCs w:val="24"/>
        </w:rPr>
        <w:t xml:space="preserve"/>
      </w:r>
      <w:br/>
      <w:r>
        <w:rPr>
          <w:sz w:val="24"/>
          <w:szCs w:val="24"/>
          <w:b w:val="1"/>
          <w:bCs w:val="1"/>
        </w:rPr>
        <w:t xml:space="preserve"/>
      </w:r>
      <w:r>
        <w:rPr>
          <w:sz w:val="24"/>
          <w:szCs w:val="24"/>
          <w:b w:val="1"/>
          <w:bCs w:val="1"/>
        </w:rPr>
        <w:t xml:space="preserve">MaP-7, Plattenkleber:</w:t>
      </w:r>
      <w:r>
        <w:rPr>
          <w:sz w:val="24"/>
          <w:szCs w:val="24"/>
        </w:rPr>
        <w:t xml:space="preserve"> Der im Gang im Erdgeschoss am Boden verlegte Plattenkleber der Probe MaP-7 enthält ebenfalls Asbest und wurde von einem Labor nachgewiesen. Dieses Material ist von Schadstoffsanierern unter Einhaltung der Richtlinien EKAS 6503 Kap. 7 zu entfernen und mit dem lva Code 17 06 05 S zu entsorgen.</w:t>
      </w:r>
      <w:br/>
      <w:r>
        <w:rPr>
          <w:sz w:val="24"/>
          <w:szCs w:val="24"/>
        </w:rPr>
        <w:t xml:space="preserve"/>
      </w:r>
      <w:br/>
      <w:r>
        <w:rPr>
          <w:sz w:val="24"/>
          <w:szCs w:val="24"/>
          <w:b w:val="1"/>
          <w:bCs w:val="1"/>
        </w:rPr>
        <w:t xml:space="preserve"/>
      </w:r>
      <w:r>
        <w:rPr>
          <w:sz w:val="24"/>
          <w:szCs w:val="24"/>
          <w:b w:val="1"/>
          <w:bCs w:val="1"/>
        </w:rPr>
        <w:t xml:space="preserve">VB-1, LAP:</w:t>
      </w:r>
      <w:r>
        <w:rPr>
          <w:sz w:val="24"/>
          <w:szCs w:val="24"/>
        </w:rPr>
        <w:t xml:space="preserve"> Das im Untergeschoss im Gang am Elektrotableau gefundene LAP-Material der Probe VB-1 weist eine Asbestbelastung auf, die durch freiliegende Expositionskriterien aufgefallen ist. Dieses Material ist durch Schadstoffsanierer gemäß den Richtlinien 33036 zu beseitigen und unter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Gang
</w:t>
            </w:r>
          </w:p>
          <w:p>
            <w:pPr/>
            <w:r>
              <w:rPr/>
              <w:t xml:space="preserve">UG
</w:t>
            </w:r>
          </w:p>
          <w:p>
            <w:pPr/>
            <w:r>
              <w:rPr/>
              <w:t xml:space="preserve">Boden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Gang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Gang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Alle Zimmer
</w:t>
            </w:r>
          </w:p>
          <w:p>
            <w:pPr/>
            <w:r>
              <w:rPr/>
              <w:t xml:space="preserve">EG / UG
</w:t>
            </w:r>
          </w:p>
          <w:p>
            <w:pPr/>
            <w:r>
              <w:rPr/>
              <w:t xml:space="preserve">Boden
</w:t>
            </w:r>
          </w:p>
        </w:tc>
        <w:tc>
          <w:tcPr>
            <w:shd w:val="clear" w:fill="red"/>
            <w:noWrap/>
          </w:tcPr>
          <w:p>
            <w:pPr/>
            <w:r>
              <w:rPr/>
              <w:t xml:space="preserve">VM-8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Dusche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VB-1</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VM-9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VM-10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VB-3</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