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Uerschenstrasse 33, 8493 Saland,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BA6328</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934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Rückbau/Kernsanierung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Christof Gfeller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Uerschenstrasse 33 8493 Saland</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Christof Gfeller</w:t>
            </w:r>
            <w:bookmarkEnd w:id="12"/>
            <w:r w:rsidRPr="00FF365E">
              <w:rPr>
                <w:sz w:val="24"/>
                <w:szCs w:val="24"/>
                <w:lang w:val="en-GB"/>
              </w:rPr>
              <w:t xml:space="preserve"> </w:t>
            </w:r>
            <w:bookmarkStart w:id="13" w:name="OLE_LINK13"/>
            <w:r w:rsidRPr="00FF365E">
              <w:rPr>
                <w:sz w:val="24"/>
                <w:szCs w:val="24"/>
                <w:lang w:val="en-GB"/>
              </w:rPr>
              <w:t xml:space="preserve">Uerschenstrasse 33 8493 Saland</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02 June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Faserzement</w:t>
      </w:r>
      <w:r>
        <w:rPr>
          <w:sz w:val="24"/>
          <w:szCs w:val="24"/>
        </w:rPr>
        <w:t xml:space="preserve"/>
      </w:r>
      <w:br/>
      <w:r>
        <w:rPr>
          <w:sz w:val="24"/>
          <w:szCs w:val="24"/>
        </w:rPr>
        <w:t xml:space="preserve"/>
      </w:r>
      <w:br/>
      <w:r>
        <w:rPr>
          <w:sz w:val="24"/>
          <w:szCs w:val="24"/>
        </w:rPr>
        <w:t xml:space="preserve">Faserzement aus Map 17 kann durch instruierte Handwerker unter Einhaltung der Richtlinien 33031 rückgebaut werden und ist mit dem LVA Code 17 06 98NK in einer Deponie Typ B zu entsorgen. Proben aus dem Bereich "Gebäude/ Ebene/Raum" weisen auf das Vorkommen von Bauschadstoffen an entsprechenden Einbauorten hin.</w:t>
      </w:r>
      <w:br/>
      <w:r>
        <w:rPr>
          <w:sz w:val="24"/>
          <w:szCs w:val="24"/>
        </w:rPr>
        <w:t xml:space="preserve"/>
      </w:r>
      <w:br/>
      <w:r>
        <w:rPr>
          <w:sz w:val="24"/>
          <w:szCs w:val="24"/>
          <w:b w:val="1"/>
          <w:bCs w:val="1"/>
        </w:rPr>
        <w:t xml:space="preserve"/>
      </w:r>
      <w:r>
        <w:rPr>
          <w:sz w:val="24"/>
          <w:szCs w:val="24"/>
          <w:b w:val="1"/>
          <w:bCs w:val="1"/>
        </w:rPr>
        <w:t xml:space="preserve">Polystyrol</w:t>
      </w:r>
      <w:r>
        <w:rPr>
          <w:sz w:val="24"/>
          <w:szCs w:val="24"/>
        </w:rPr>
        <w:t xml:space="preserve"/>
      </w:r>
      <w:br/>
      <w:r>
        <w:rPr>
          <w:sz w:val="24"/>
          <w:szCs w:val="24"/>
        </w:rPr>
        <w:t xml:space="preserve"/>
      </w:r>
      <w:br/>
      <w:r>
        <w:rPr>
          <w:sz w:val="24"/>
          <w:szCs w:val="24"/>
        </w:rPr>
        <w:t xml:space="preserve">Polystyrol aus Probe C5 ist in einer Menge von 200 kg mit Richtlinien (geregelt durch schweizerische Normen) zu behandeln und als LVA Code 17 06 04 bei einer Typ B Deponie zu entsorgen. Vor dem Rückbau muss eine Prüfung auf Schadstoffbelastung durchgeführt werden.</w:t>
      </w:r>
      <w:br/>
      <w:r>
        <w:rPr>
          <w:sz w:val="24"/>
          <w:szCs w:val="24"/>
        </w:rPr>
        <w:t xml:space="preserve"/>
      </w:r>
      <w:br/>
      <w:r>
        <w:rPr>
          <w:sz w:val="24"/>
          <w:szCs w:val="24"/>
          <w:b w:val="1"/>
          <w:bCs w:val="1"/>
        </w:rPr>
        <w:t xml:space="preserve"/>
      </w:r>
      <w:r>
        <w:rPr>
          <w:sz w:val="24"/>
          <w:szCs w:val="24"/>
          <w:b w:val="1"/>
          <w:bCs w:val="1"/>
        </w:rPr>
        <w:t xml:space="preserve">Dämmplatte</w:t>
      </w:r>
      <w:r>
        <w:rPr>
          <w:sz w:val="24"/>
          <w:szCs w:val="24"/>
        </w:rPr>
        <w:t xml:space="preserve"/>
      </w:r>
      <w:br/>
      <w:r>
        <w:rPr>
          <w:sz w:val="24"/>
          <w:szCs w:val="24"/>
        </w:rPr>
        <w:t xml:space="preserve"/>
      </w:r>
      <w:br/>
      <w:r>
        <w:rPr>
          <w:sz w:val="24"/>
          <w:szCs w:val="24"/>
        </w:rPr>
        <w:t xml:space="preserve">Die Dämmplatte aus Probe ID 12 erfordert eine spezielle Entsorgung durch Schadstoffsanierer nach den DVS-Richtlinien mit einem LVA Code 17 09 04 für eine Deponie Typ D. Der Rückbau ist ausschliesslich durch geschulte Fachkräfte vorzunehmen.</w:t>
      </w:r>
      <w:br/>
      <w:r>
        <w:rPr>
          <w:sz w:val="24"/>
          <w:szCs w:val="24"/>
        </w:rPr>
        <w:t xml:space="preserve"/>
      </w:r>
      <w:br/>
      <w:r>
        <w:rPr>
          <w:sz w:val="24"/>
          <w:szCs w:val="24"/>
          <w:b w:val="1"/>
          <w:bCs w:val="1"/>
        </w:rPr>
        <w:t xml:space="preserve"/>
      </w:r>
      <w:r>
        <w:rPr>
          <w:sz w:val="24"/>
          <w:szCs w:val="24"/>
          <w:b w:val="1"/>
          <w:bCs w:val="1"/>
        </w:rPr>
        <w:t xml:space="preserve">Teerpappe</w:t>
      </w:r>
      <w:r>
        <w:rPr>
          <w:sz w:val="24"/>
          <w:szCs w:val="24"/>
        </w:rPr>
        <w:t xml:space="preserve"/>
      </w:r>
      <w:br/>
      <w:r>
        <w:rPr>
          <w:sz w:val="24"/>
          <w:szCs w:val="24"/>
        </w:rPr>
        <w:t xml:space="preserve"/>
      </w:r>
      <w:br/>
      <w:r>
        <w:rPr>
          <w:sz w:val="24"/>
          <w:szCs w:val="24"/>
        </w:rPr>
        <w:t xml:space="preserve">Teerpappe identifiziert in Probe-ID T3 hat beträchtliche Schadstoffe und sollte mit der Entsorgungsvorschrift LVA Code 17 03 01 als gefährliches Material in einer Typ D Deponie abgelegt werden. In den Sanierungsangaben ist definiert, dass die Dekontamination durch zertifizierte Schadstoffsanierer erfolgen muss.</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Ganzes EG
</w:t>
            </w:r>
          </w:p>
          <w:p>
            <w:pPr/>
            <w:r>
              <w:rPr/>
              <w:t xml:space="preserve">EG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Ganzes OG
</w:t>
            </w:r>
          </w:p>
          <w:p>
            <w:pPr/>
            <w:r>
              <w:rPr/>
              <w:t xml:space="preserve">OG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Fassade
</w:t>
            </w:r>
          </w:p>
          <w:p>
            <w:pPr/>
            <w:r>
              <w:rPr/>
              <w:t xml:space="preserve">EG-DG
</w:t>
            </w:r>
          </w:p>
          <w:p>
            <w:pPr/>
            <w:r>
              <w:rPr/>
              <w:t xml:space="preserve">Wand
</w:t>
            </w:r>
          </w:p>
        </w:tc>
        <w:tc>
          <w:tcPr>
            <w:shd w:val="clear" w:fill="red"/>
            <w:noWrap/>
          </w:tcPr>
          <w:p>
            <w:pPr/>
            <w:r>
              <w:rPr/>
              <w:t xml:space="preserve">VM-17
</w:t>
            </w:r>
          </w:p>
          <w:p>
            <w:pPr/>
            <w:r>
              <w:rPr/>
              <w:t xml:space="preserve">Verputz
</w:t>
            </w:r>
          </w:p>
          <w:p>
            <w:pPr/>
            <w:r>
              <w:rPr/>
              <w:t xml:space="preserve">Fassade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VB-1</w:t>
            </w:r>
          </w:p>
        </w:tc>
        <w:tc>
          <w:tcPr>
            <w:shd w:val="clear" w:fill="red"/>
            <w:noWrap/>
          </w:tcPr>
          <w:p>
            <w:pPr/>
            <w:r>
              <w:rPr/>
              <w:t xml:space="preserve">Eingang
</w:t>
            </w:r>
          </w:p>
          <w:p>
            <w:pPr/>
            <w:r>
              <w:rPr/>
              <w:t xml:space="preserve">EG
</w:t>
            </w:r>
          </w:p>
          <w:p>
            <w:pPr/>
            <w:r>
              <w:rPr/>
              <w:t xml:space="preserve">Wand
</w:t>
            </w:r>
          </w:p>
        </w:tc>
        <w:tc>
          <w:tcPr>
            <w:shd w:val="clear" w:fill="red"/>
            <w:noWrap/>
          </w:tcPr>
          <w:p>
            <w:pPr/>
            <w:r>
              <w:rPr/>
              <w:t xml:space="preserve">VM-21
</w:t>
            </w:r>
          </w:p>
          <w:p>
            <w:pPr/>
            <w:r>
              <w:rPr/>
              <w:t xml:space="preserve">LAP
</w:t>
            </w:r>
          </w:p>
          <w:p>
            <w:pPr/>
            <w:r>
              <w:rPr/>
              <w:t xml:space="preserve">Brandschutzplatte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green"/>
            <w:noWrap/>
          </w:tcPr>
          <w:p>
            <w:pPr/>
            <w:r>
              <w:rPr/>
              <w:t xml:space="preserve">VB-2</w:t>
            </w:r>
          </w:p>
        </w:tc>
        <w:tc>
          <w:tcPr>
            <w:shd w:val="clear" w:fill="green"/>
            <w:noWrap/>
          </w:tcPr>
          <w:p>
            <w:pPr/>
            <w:r>
              <w:rPr/>
              <w:t xml:space="preserve">Ganzes OG
</w:t>
            </w:r>
          </w:p>
          <w:p>
            <w:pPr/>
            <w:r>
              <w:rPr/>
              <w:t xml:space="preserve">OG
</w:t>
            </w:r>
          </w:p>
          <w:p>
            <w:pPr/>
            <w:r>
              <w:rPr/>
              <w:t xml:space="preserve">Boden
</w:t>
            </w:r>
          </w:p>
        </w:tc>
        <w:tc>
          <w:tcPr>
            <w:shd w:val="clear" w:fill="green"/>
            <w:noWrap/>
          </w:tcPr>
          <w:p>
            <w:pPr/>
            <w:r>
              <w:rPr/>
              <w:t xml:space="preserve">VM-24
</w:t>
            </w:r>
          </w:p>
          <w:p>
            <w:pPr/>
            <w:r>
              <w:rPr/>
              <w:t xml:space="preserve">Schlacke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0" o:title=""/>
                </v:shape>
              </w:pict>
              <w:t xml:space="preserve"/>
            </w:r>
          </w:p>
        </w:tc>
        <w:tc>
          <w:tcPr>
            <w:shd w:val="clear" w:fill="green"/>
            <w:noWrap/>
          </w:tcPr>
          <w:p>
            <w:pPr/>
            <w:r>
              <w:rPr/>
              <w:t xml:space="preserve"/>
              <w:pict>
                <v:shape type="#_x0000_t75" style="width:100px;height:150px" stroked="f" filled="f">
                  <v:imagedata r:id="rId31" o:title=""/>
                </v:shape>
              </w:pict>
              <w:t xml:space="preserve"/>
            </w:r>
          </w:p>
        </w:tc>
      </w:tr>
      <w:tr>
        <w:trPr/>
        <w:tc>
          <w:tcPr>
            <w:shd w:val="clear" w:fill="orange"/>
            <w:noWrap/>
          </w:tcPr>
          <w:p>
            <w:pPr/>
            <w:r>
              <w:rPr/>
              <w:t xml:space="preserve">VB-3</w:t>
            </w:r>
          </w:p>
        </w:tc>
        <w:tc>
          <w:tcPr>
            <w:shd w:val="clear" w:fill="orange"/>
            <w:noWrap/>
          </w:tcPr>
          <w:p>
            <w:pPr/>
            <w:r>
              <w:rPr/>
              <w:t xml:space="preserve">Unterdach
</w:t>
            </w:r>
          </w:p>
          <w:p>
            <w:pPr/>
            <w:r>
              <w:rPr/>
              <w:t xml:space="preserve">DG
</w:t>
            </w:r>
          </w:p>
          <w:p>
            <w:pPr/>
            <w:r>
              <w:rPr/>
              <w:t xml:space="preserve">Unterdach
</w:t>
            </w:r>
          </w:p>
        </w:tc>
        <w:tc>
          <w:tcPr>
            <w:shd w:val="clear" w:fill="orange"/>
            <w:noWrap/>
          </w:tcPr>
          <w:p>
            <w:pPr/>
            <w:r>
              <w:rPr/>
              <w:t xml:space="preserve">VM-23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2" o:title=""/>
                </v:shape>
              </w:pict>
              <w:t xml:space="preserve"/>
            </w:r>
          </w:p>
        </w:tc>
        <w:tc>
          <w:tcPr>
            <w:shd w:val="clear" w:fill="orange"/>
            <w:noWrap/>
          </w:tcPr>
          <w:p>
            <w:pPr/>
            <w:r>
              <w:rPr/>
              <w:t xml:space="preserve"/>
              <w:pict>
                <v:shape type="#_x0000_t75" style="width:100px;height:150px" stroked="f" filled="f">
                  <v:imagedata r:id="rId33"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