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Fuhrenweg 14, Sumiswald,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2703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Express, andere Standard</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Thomas Bernhard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Fuhrenweg 14 3457 Wasen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Thomas Bernhard</w:t>
            </w:r>
            <w:bookmarkEnd w:id="12"/>
            <w:r w:rsidRPr="00FF365E">
              <w:rPr>
                <w:sz w:val="24"/>
                <w:szCs w:val="24"/>
                <w:lang w:val="en-GB"/>
              </w:rPr>
              <w:t xml:space="preserve"> </w:t>
            </w:r>
            <w:bookmarkStart w:id="13" w:name="OLE_LINK13"/>
            <w:r w:rsidRPr="00FF365E">
              <w:rPr>
                <w:sz w:val="24"/>
                <w:szCs w:val="24"/>
                <w:lang w:val="en-GB"/>
              </w:rPr>
              <w:t xml:space="preserve">Fuhrenweg 14 3457 Wasen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22</w:t>
      </w:r>
      <w:r>
        <w:rPr>
          <w:sz w:val="24"/>
          <w:szCs w:val="24"/>
        </w:rPr>
        <w:t xml:space="preserve">  </w:t>
      </w:r>
      <w:br/>
      <w:r>
        <w:rPr>
          <w:sz w:val="24"/>
          <w:szCs w:val="24"/>
        </w:rPr>
        <w:t xml:space="preserve">Baukleber aus Map 22 erfordert die Beachtung der Richtlinien 430. Weiterhin ist das Material mit dem LVA Code 17 08 98Q zu kennzeichnen.</w:t>
      </w:r>
      <w:br/>
      <w:r>
        <w:rPr>
          <w:sz w:val="24"/>
          <w:szCs w:val="24"/>
        </w:rPr>
        <w:t xml:space="preserve"/>
      </w:r>
      <w:br/>
      <w:r>
        <w:rPr>
          <w:sz w:val="24"/>
          <w:szCs w:val="24"/>
          <w:b w:val="1"/>
          <w:bCs w:val="1"/>
        </w:rPr>
        <w:t xml:space="preserve"/>
      </w:r>
      <w:r>
        <w:rPr>
          <w:sz w:val="24"/>
          <w:szCs w:val="24"/>
          <w:b w:val="1"/>
          <w:bCs w:val="1"/>
        </w:rPr>
        <w:t xml:space="preserve">Map 23</w:t>
      </w:r>
      <w:r>
        <w:rPr>
          <w:sz w:val="24"/>
          <w:szCs w:val="24"/>
        </w:rPr>
        <w:t xml:space="preserve">  </w:t>
      </w:r>
      <w:br/>
      <w:r>
        <w:rPr>
          <w:sz w:val="24"/>
          <w:szCs w:val="24"/>
        </w:rPr>
        <w:t xml:space="preserve">Für Kunststoffe aus Map 23 sind keine speziellen Richtlinien zu beachten, aber die Entsorgung soll mit dem LVA Code 17 02 03EX erfolgen.</w:t>
      </w:r>
      <w:br/>
      <w:r>
        <w:rPr>
          <w:sz w:val="24"/>
          <w:szCs w:val="24"/>
        </w:rPr>
        <w:t xml:space="preserve"/>
      </w:r>
      <w:br/>
      <w:r>
        <w:rPr>
          <w:sz w:val="24"/>
          <w:szCs w:val="24"/>
          <w:b w:val="1"/>
          <w:bCs w:val="1"/>
        </w:rPr>
        <w:t xml:space="preserve"/>
      </w:r>
      <w:r>
        <w:rPr>
          <w:sz w:val="24"/>
          <w:szCs w:val="24"/>
          <w:b w:val="1"/>
          <w:bCs w:val="1"/>
        </w:rPr>
        <w:t xml:space="preserve">Map 24</w:t>
      </w:r>
      <w:r>
        <w:rPr>
          <w:sz w:val="24"/>
          <w:szCs w:val="24"/>
        </w:rPr>
        <w:t xml:space="preserve">  </w:t>
      </w:r>
      <w:br/>
      <w:r>
        <w:rPr>
          <w:sz w:val="24"/>
          <w:szCs w:val="24"/>
        </w:rPr>
        <w:t xml:space="preserve">Faserzement von Map 24 muss entsprechend der Richtlinien 3353 durch instruierte Handwerker saniert werden. Die Materialien sind gemäss dem LVA Code 17 06 98k zu klassifizieren und in einer Deponie Typ D zu lagern.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VM-21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