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Berchtrüti 43, Gersau,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Michal Marjankowski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Berchtrüti 43, Gersau,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Michal Marjankowski</w:t>
            </w:r>
            <w:bookmarkEnd w:id="12"/>
            <w:r w:rsidRPr="00FF365E">
              <w:rPr>
                <w:sz w:val="24"/>
                <w:szCs w:val="24"/>
                <w:lang w:val="en-GB"/>
              </w:rPr>
              <w:t xml:space="preserve"> </w:t>
            </w:r>
            <w:bookmarkStart w:id="13" w:name="OLE_LINK13"/>
            <w:r w:rsidRPr="00FF365E">
              <w:rPr>
                <w:sz w:val="24"/>
                <w:szCs w:val="24"/>
                <w:lang w:val="en-GB"/>
              </w:rPr>
              <w:t xml:space="preserve">Berchtrüti 43, Gersau,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KA-115</w:t>
      </w:r>
      <w:r>
        <w:rPr>
          <w:sz w:val="24"/>
          <w:szCs w:val="24"/>
        </w:rPr>
        <w:t xml:space="preserve">  </w:t>
      </w:r>
      <w:br/>
      <w:r>
        <w:rPr>
          <w:sz w:val="24"/>
          <w:szCs w:val="24"/>
        </w:rPr>
        <w:t xml:space="preserve">Faserzement kann durch instruierte Handwerker rückgebaut werden, indem die Richtlinie 33031 eingehalten wird. Das Material ist gemäss LVA Code 17 06 98nk auf einer Deponie des Typs B zu entsorgen. </w:t>
      </w:r>
      <w:br/>
      <w:r>
        <w:rPr>
          <w:sz w:val="24"/>
          <w:szCs w:val="24"/>
        </w:rPr>
        <w:t xml:space="preserve"/>
      </w:r>
      <w:br/>
      <w:r>
        <w:rPr>
          <w:sz w:val="24"/>
          <w:szCs w:val="24"/>
          <w:b w:val="1"/>
          <w:bCs w:val="1"/>
        </w:rPr>
        <w:t xml:space="preserve"/>
      </w:r>
      <w:r>
        <w:rPr>
          <w:sz w:val="24"/>
          <w:szCs w:val="24"/>
          <w:b w:val="1"/>
          <w:bCs w:val="1"/>
        </w:rPr>
        <w:t xml:space="preserve">KA-116</w:t>
      </w:r>
      <w:r>
        <w:rPr>
          <w:sz w:val="24"/>
          <w:szCs w:val="24"/>
        </w:rPr>
        <w:t xml:space="preserve">  </w:t>
      </w:r>
      <w:br/>
      <w:r>
        <w:rPr>
          <w:sz w:val="24"/>
          <w:szCs w:val="24"/>
        </w:rPr>
        <w:t xml:space="preserve">Bodenbelag aus PVC sollte durch instruierte Handwerker entfernt werden, wobei die Richtlinie 33031 zu beachten ist. Die Entsorgung erfolgt unter Anwendung des LVA Codes 17 02 03 im Typ B Recyclingprozess. </w:t>
      </w:r>
      <w:br/>
      <w:r>
        <w:rPr>
          <w:sz w:val="24"/>
          <w:szCs w:val="24"/>
        </w:rPr>
        <w:t xml:space="preserve"/>
      </w:r>
      <w:br/>
      <w:r>
        <w:rPr>
          <w:sz w:val="24"/>
          <w:szCs w:val="24"/>
          <w:b w:val="1"/>
          <w:bCs w:val="1"/>
        </w:rPr>
        <w:t xml:space="preserve"/>
      </w:r>
      <w:r>
        <w:rPr>
          <w:sz w:val="24"/>
          <w:szCs w:val="24"/>
          <w:b w:val="1"/>
          <w:bCs w:val="1"/>
        </w:rPr>
        <w:t xml:space="preserve">KE-114</w:t>
      </w:r>
      <w:r>
        <w:rPr>
          <w:sz w:val="24"/>
          <w:szCs w:val="24"/>
        </w:rPr>
        <w:t xml:space="preserve">  </w:t>
      </w:r>
      <w:br/>
      <w:r>
        <w:rPr>
          <w:sz w:val="24"/>
          <w:szCs w:val="24"/>
        </w:rPr>
        <w:t xml:space="preserve">Deckenverkleidung enthält Asbest, welches durch einen Schadstoffsanierer unter Berücksichtigung der Richtlinie 341 herunterladen und entsorgt wird. Die Dokumentation der Entsorgung erfolgt durch LVA Code 17 06 05. </w:t>
      </w:r>
      <w:br/>
      <w:r>
        <w:rPr>
          <w:sz w:val="24"/>
          <w:szCs w:val="24"/>
        </w:rPr>
        <w:t xml:space="preserve"/>
      </w:r>
      <w:br/>
      <w:r>
        <w:rPr>
          <w:sz w:val="24"/>
          <w:szCs w:val="24"/>
          <w:b w:val="1"/>
          <w:bCs w:val="1"/>
        </w:rPr>
        <w:t xml:space="preserve"/>
      </w:r>
      <w:r>
        <w:rPr>
          <w:sz w:val="24"/>
          <w:szCs w:val="24"/>
          <w:b w:val="1"/>
          <w:bCs w:val="1"/>
        </w:rPr>
        <w:t xml:space="preserve">KE-115</w:t>
      </w:r>
      <w:r>
        <w:rPr>
          <w:sz w:val="24"/>
          <w:szCs w:val="24"/>
        </w:rPr>
        <w:t xml:space="preserve">  </w:t>
      </w:r>
      <w:br/>
      <w:r>
        <w:rPr>
          <w:sz w:val="24"/>
          <w:szCs w:val="24"/>
        </w:rPr>
        <w:t xml:space="preserve">Der Wandputz, der asbesthaltig ist, benötigt einen Schadstoffsanierer zur korrekten Entsorgung gemäss Richtlinie 341. Entsprechend der LVA Code 17 06 05 wird das Material fachgerecht entsorgt.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EG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Eingang/ Wohnzimmer/ Küche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Eingang
</w:t>
            </w:r>
          </w:p>
          <w:p>
            <w:pPr/>
            <w:r>
              <w:rPr/>
              <w:t xml:space="preserve">EG
</w:t>
            </w:r>
          </w:p>
          <w:p>
            <w:pPr/>
            <w:r>
              <w:rPr/>
              <w:t xml:space="preserve">Wand/ Decke
</w:t>
            </w:r>
          </w:p>
        </w:tc>
        <w:tc>
          <w:tcPr>
            <w:shd w:val="clear" w:fill="red"/>
            <w:noWrap/>
          </w:tcPr>
          <w:p>
            <w:pPr/>
            <w:r>
              <w:rPr/>
              <w:t xml:space="preserve">VM-21
</w:t>
            </w:r>
          </w:p>
          <w:p>
            <w:pPr/>
            <w:r>
              <w:rPr/>
              <w:t xml:space="preserve">Verputz
</w:t>
            </w:r>
          </w:p>
          <w:p>
            <w:pPr/>
            <w:r>
              <w:rPr/>
              <w:t xml:space="preserve">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Duschkabine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WC/ Dusche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WC/ Dusche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Küche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Balkon/ Treppe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Reduit/ Waschküche
</w:t>
            </w:r>
          </w:p>
          <w:p>
            <w:pPr/>
            <w:r>
              <w:rPr/>
              <w:t xml:space="preserve">EG
</w:t>
            </w:r>
          </w:p>
          <w:p>
            <w:pPr/>
            <w:r>
              <w:rPr/>
              <w:t xml:space="preserve">Boden/ Wand/ Decke
</w:t>
            </w:r>
          </w:p>
        </w:tc>
        <w:tc>
          <w:tcPr>
            <w:shd w:val="clear" w:fill="red"/>
            <w:noWrap/>
          </w:tcPr>
          <w:p>
            <w:pPr/>
            <w:r>
              <w:rPr/>
              <w:t xml:space="preserve">VM-22
</w:t>
            </w:r>
          </w:p>
          <w:p>
            <w:pPr/>
            <w:r>
              <w:rPr/>
              <w:t xml:space="preserve">Fliesenkleber
</w:t>
            </w:r>
          </w:p>
          <w:p>
            <w:pPr/>
            <w:r>
              <w:rPr/>
              <w:t xml:space="preserve">Boden/ Wand/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EG
</w:t>
            </w:r>
          </w:p>
          <w:p>
            <w:pPr/>
            <w:r>
              <w:rPr/>
              <w:t xml:space="preserve">Boiler
</w:t>
            </w:r>
          </w:p>
        </w:tc>
        <w:tc>
          <w:tcPr>
            <w:shd w:val="clear" w:fill="orange"/>
            <w:noWrap/>
          </w:tcPr>
          <w:p>
            <w:pPr/>
            <w:r>
              <w:rPr/>
              <w:t xml:space="preserve">VM-23
</w:t>
            </w:r>
          </w:p>
          <w:p>
            <w:pPr/>
            <w:r>
              <w:rPr/>
              <w:t xml:space="preserve">Flachdichtung
</w:t>
            </w:r>
          </w:p>
          <w:p>
            <w:pPr/>
            <w:r>
              <w:rPr/>
              <w:t xml:space="preserve">Boiler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r>
        <w:trPr/>
        <w:tc>
          <w:tcPr>
            <w:shd w:val="clear" w:fill="orange"/>
            <w:noWrap/>
          </w:tcPr>
          <w:p>
            <w:pPr/>
            <w:r>
              <w:rPr/>
              <w:t xml:space="preserve">VB-2</w:t>
            </w:r>
          </w:p>
        </w:tc>
        <w:tc>
          <w:tcPr>
            <w:shd w:val="clear" w:fill="orange"/>
            <w:noWrap/>
          </w:tcPr>
          <w:p>
            <w:pPr/>
            <w:r>
              <w:rPr/>
              <w:t xml:space="preserve">Eingang
</w:t>
            </w:r>
          </w:p>
          <w:p>
            <w:pPr/>
            <w:r>
              <w:rPr/>
              <w:t xml:space="preserve">EG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6" o:title=""/>
                </v:shape>
              </w:pict>
              <w:t xml:space="preserve"/>
            </w:r>
          </w:p>
        </w:tc>
        <w:tc>
          <w:tcPr>
            <w:shd w:val="clear" w:fill="orange"/>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VB-3</w:t>
            </w:r>
          </w:p>
        </w:tc>
        <w:tc>
          <w:tcPr>
            <w:shd w:val="clear" w:fill="orange"/>
            <w:noWrap/>
          </w:tcPr>
          <w:p>
            <w:pPr/>
            <w:r>
              <w:rPr/>
              <w:t xml:space="preserve">Balkon
</w:t>
            </w:r>
          </w:p>
          <w:p>
            <w:pPr/>
            <w:r>
              <w:rPr/>
              <w:t xml:space="preserve">EG
</w:t>
            </w:r>
          </w:p>
          <w:p>
            <w:pPr/>
            <w:r>
              <w:rPr/>
              <w:t xml:space="preserve">Elektrotableau
</w:t>
            </w:r>
          </w:p>
        </w:tc>
        <w:tc>
          <w:tcPr>
            <w:shd w:val="clear" w:fill="orange"/>
            <w:noWrap/>
          </w:tcPr>
          <w:p>
            <w:pPr/>
            <w:r>
              <w:rPr/>
              <w:t xml:space="preserve">VM-9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