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21_document.jpeg" ContentType="image/jpeg"/>
  <Override PartName="/word/media/image_rId22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52" w:type="dxa"/>
        <w:tblInd w:w="-113" w:type="dxa"/>
        <w:tblLayout w:type="fixed"/>
        <w:tblLook w:val="0600" w:firstRow="0" w:lastRow="0" w:firstColumn="0" w:lastColumn="0" w:noHBand="1" w:noVBand="1"/>
      </w:tblPr>
      <w:tblGrid>
        <w:gridCol w:w="5386"/>
        <w:gridCol w:w="729"/>
        <w:gridCol w:w="3637"/>
      </w:tblGrid>
      <w:tr w:rsidR="0047123B" w:rsidRPr="00AD5C91" w14:paraId="6553C78C" w14:textId="77777777" w:rsidTr="00A95013">
        <w:trPr>
          <w:trHeight w:val="3764"/>
        </w:trPr>
        <w:tc>
          <w:tcPr>
            <w:tcW w:w="5386" w:type="dxa"/>
            <w:tcMar>
              <w:top w:w="100" w:type="dxa"/>
              <w:left w:w="100" w:type="dxa"/>
              <w:bottom w:w="100" w:type="dxa"/>
              <w:right w:w="100" w:type="dxa"/>
            </w:tcMar>
          </w:tcPr>
          <w:p w14:paraId="0092671F" w14:textId="2F5DD45A" w:rsidR="0047123B" w:rsidRPr="00FF365E" w:rsidRDefault="0047123B">
            <w:pPr>
              <w:spacing w:line="240" w:lineRule="auto"/>
              <w:rPr>
                <w:rFonts w:eastAsia="Calibri"/>
                <w:b/>
                <w:color w:val="2F5496"/>
                <w:sz w:val="26"/>
                <w:szCs w:val="26"/>
              </w:rPr>
            </w:pPr>
            <w:bookmarkStart w:id="0" w:name="OLE_LINK40"/>
            <w:r w:rsidRPr="00FF365E">
              <w:rPr>
                <w:sz w:val="24"/>
                <w:szCs w:val="24"/>
              </w:rPr>
              <w:t>${projekt-bild}</w:t>
            </w:r>
            <w:r w:rsidR="00522EF7">
              <w:rPr>
                <w:sz w:val="24"/>
                <w:szCs w:val="24"/>
              </w:rPr>
              <w:t>aaaa</w:t>
            </w:r>
            <w:r w:rsidR="00394E81">
              <w:rPr>
                <w:sz w:val="24"/>
                <w:szCs w:val="24"/>
              </w:rPr>
              <w:t>a111</w:t>
            </w:r>
          </w:p>
        </w:tc>
        <w:tc>
          <w:tcPr>
            <w:tcW w:w="729" w:type="dxa"/>
            <w:tcMar>
              <w:top w:w="100" w:type="dxa"/>
              <w:left w:w="100" w:type="dxa"/>
              <w:bottom w:w="100" w:type="dxa"/>
              <w:right w:w="100" w:type="dxa"/>
            </w:tcMar>
          </w:tcPr>
          <w:p w14:paraId="0B8AB774" w14:textId="77777777" w:rsidR="0047123B" w:rsidRPr="00FF365E" w:rsidRDefault="0047123B">
            <w:pPr>
              <w:widowControl w:val="0"/>
              <w:pBdr>
                <w:top w:val="nil"/>
                <w:left w:val="nil"/>
                <w:bottom w:val="nil"/>
                <w:right w:val="nil"/>
                <w:between w:val="nil"/>
              </w:pBdr>
              <w:spacing w:line="240" w:lineRule="auto"/>
              <w:rPr>
                <w:rFonts w:eastAsia="Calibri"/>
                <w:b/>
                <w:color w:val="2F5496"/>
                <w:sz w:val="26"/>
                <w:szCs w:val="26"/>
              </w:rPr>
            </w:pPr>
          </w:p>
        </w:tc>
        <w:tc>
          <w:tcPr>
            <w:tcW w:w="3637" w:type="dxa"/>
            <w:shd w:val="clear" w:color="auto" w:fill="F2F2F2" w:themeFill="background1" w:themeFillShade="F2"/>
            <w:tcMar>
              <w:top w:w="100" w:type="dxa"/>
              <w:left w:w="100" w:type="dxa"/>
              <w:bottom w:w="100" w:type="dxa"/>
              <w:right w:w="100" w:type="dxa"/>
            </w:tcMar>
          </w:tcPr>
          <w:p w14:paraId="6E31FAB3" w14:textId="5BE37C43" w:rsidR="0047123B" w:rsidRPr="00FF365E" w:rsidRDefault="0047123B">
            <w:pPr>
              <w:spacing w:line="240" w:lineRule="auto"/>
              <w:rPr>
                <w:sz w:val="24"/>
                <w:szCs w:val="24"/>
                <w:lang w:val="en-GB"/>
              </w:rPr>
            </w:pPr>
            <w:bookmarkStart w:id="1" w:name="OLE_LINK33"/>
            <w:r w:rsidRPr="00FF365E">
              <w:rPr>
                <w:sz w:val="24"/>
                <w:szCs w:val="24"/>
                <w:lang w:val="en-GB"/>
              </w:rPr>
              <w:t>Grueb 1, 9100 Herisau, Schweiz</w:t>
            </w:r>
            <w:bookmarkEnd w:id="1"/>
            <w:r w:rsidRPr="00FF365E">
              <w:rPr>
                <w:sz w:val="24"/>
                <w:szCs w:val="24"/>
                <w:lang w:val="en-GB"/>
              </w:rPr>
              <w:br/>
            </w:r>
            <w:r w:rsidRPr="00FF365E">
              <w:rPr>
                <w:sz w:val="24"/>
                <w:szCs w:val="24"/>
                <w:lang w:val="en-GB"/>
              </w:rPr>
              <w:br/>
            </w:r>
            <w:r w:rsidR="00527FA2">
              <w:rPr>
                <w:sz w:val="24"/>
                <w:szCs w:val="24"/>
                <w:lang w:val="en-GB"/>
              </w:rPr>
              <w:t>Prz.Nr:</w:t>
            </w:r>
            <w:r w:rsidR="002B42D3">
              <w:rPr>
                <w:sz w:val="24"/>
                <w:szCs w:val="24"/>
                <w:lang w:val="en-GB"/>
              </w:rPr>
              <w:t xml:space="preserve"> </w:t>
            </w:r>
            <w:r w:rsidRPr="00FF365E">
              <w:rPr>
                <w:sz w:val="24"/>
                <w:szCs w:val="24"/>
                <w:lang w:val="en-GB"/>
              </w:rPr>
              <w:t/>
            </w:r>
          </w:p>
          <w:p w14:paraId="0E6B913A" w14:textId="41230622" w:rsidR="0047123B" w:rsidRPr="00FF365E" w:rsidRDefault="00527FA2">
            <w:pPr>
              <w:spacing w:line="240" w:lineRule="auto"/>
              <w:rPr>
                <w:sz w:val="24"/>
                <w:szCs w:val="24"/>
                <w:lang w:val="en-GB"/>
              </w:rPr>
            </w:pPr>
            <w:r>
              <w:rPr>
                <w:sz w:val="24"/>
                <w:szCs w:val="24"/>
                <w:lang w:val="en-GB"/>
              </w:rPr>
              <w:t>Baujahr:</w:t>
            </w:r>
            <w:r w:rsidR="002B42D3">
              <w:rPr>
                <w:sz w:val="24"/>
                <w:szCs w:val="24"/>
                <w:lang w:val="en-GB"/>
              </w:rPr>
              <w:t xml:space="preserve"> </w:t>
            </w:r>
            <w:r w:rsidR="0047123B" w:rsidRPr="00FF365E">
              <w:rPr>
                <w:sz w:val="24"/>
                <w:szCs w:val="24"/>
                <w:lang w:val="en-GB"/>
              </w:rPr>
              <w:t/>
            </w:r>
          </w:p>
          <w:p w14:paraId="4FAF1CA3" w14:textId="77777777" w:rsidR="0047123B" w:rsidRPr="00FF365E" w:rsidRDefault="0047123B">
            <w:pPr>
              <w:spacing w:line="240" w:lineRule="auto"/>
              <w:rPr>
                <w:sz w:val="24"/>
                <w:szCs w:val="24"/>
                <w:lang w:val="en-GB"/>
              </w:rPr>
            </w:pPr>
          </w:p>
          <w:p w14:paraId="0BEA6665" w14:textId="77777777" w:rsidR="0047123B" w:rsidRPr="00FF365E" w:rsidRDefault="0047123B">
            <w:pPr>
              <w:spacing w:line="240" w:lineRule="auto"/>
              <w:rPr>
                <w:sz w:val="24"/>
                <w:szCs w:val="24"/>
                <w:lang w:val="en-GB"/>
              </w:rPr>
            </w:pPr>
          </w:p>
          <w:p w14:paraId="3A66E79D" w14:textId="77777777" w:rsidR="0047123B" w:rsidRPr="00FF365E" w:rsidRDefault="0047123B">
            <w:pPr>
              <w:spacing w:line="240" w:lineRule="auto"/>
              <w:rPr>
                <w:sz w:val="24"/>
                <w:szCs w:val="24"/>
                <w:lang w:val="en-GB"/>
              </w:rPr>
            </w:pPr>
          </w:p>
          <w:p w14:paraId="18D05159" w14:textId="77777777" w:rsidR="0047123B" w:rsidRPr="00FF365E" w:rsidRDefault="0047123B">
            <w:pPr>
              <w:spacing w:line="240" w:lineRule="auto"/>
              <w:rPr>
                <w:sz w:val="24"/>
                <w:szCs w:val="24"/>
                <w:lang w:val="en-GB"/>
              </w:rPr>
            </w:pPr>
          </w:p>
          <w:p w14:paraId="0ACD789C" w14:textId="77777777" w:rsidR="0047123B" w:rsidRPr="00FF365E" w:rsidRDefault="0047123B">
            <w:pPr>
              <w:spacing w:line="240" w:lineRule="auto"/>
              <w:rPr>
                <w:sz w:val="24"/>
                <w:szCs w:val="24"/>
                <w:lang w:val="en-GB"/>
              </w:rPr>
            </w:pPr>
          </w:p>
          <w:p w14:paraId="0798B1C5" w14:textId="77777777" w:rsidR="0047123B" w:rsidRPr="00FF365E" w:rsidRDefault="0047123B">
            <w:pPr>
              <w:spacing w:line="240" w:lineRule="auto"/>
              <w:rPr>
                <w:sz w:val="24"/>
                <w:szCs w:val="24"/>
                <w:lang w:val="en-GB"/>
              </w:rPr>
            </w:pPr>
          </w:p>
          <w:p w14:paraId="07E895C8" w14:textId="77777777" w:rsidR="0047123B" w:rsidRDefault="0047123B">
            <w:pPr>
              <w:spacing w:line="240" w:lineRule="auto"/>
              <w:rPr>
                <w:sz w:val="24"/>
                <w:szCs w:val="24"/>
                <w:lang w:val="en-GB"/>
              </w:rPr>
            </w:pPr>
          </w:p>
          <w:p w14:paraId="24FDE34F" w14:textId="77777777" w:rsidR="00527FA2" w:rsidRDefault="00527FA2">
            <w:pPr>
              <w:spacing w:line="240" w:lineRule="auto"/>
              <w:rPr>
                <w:sz w:val="24"/>
                <w:szCs w:val="24"/>
                <w:lang w:val="en-GB"/>
              </w:rPr>
            </w:pPr>
          </w:p>
          <w:p w14:paraId="71989F4F" w14:textId="77777777" w:rsidR="00527FA2" w:rsidRPr="00FF365E" w:rsidRDefault="00527FA2">
            <w:pPr>
              <w:spacing w:line="240" w:lineRule="auto"/>
              <w:rPr>
                <w:sz w:val="24"/>
                <w:szCs w:val="24"/>
                <w:lang w:val="en-GB"/>
              </w:rPr>
            </w:pPr>
          </w:p>
          <w:p w14:paraId="00C6CA84" w14:textId="77777777" w:rsidR="0047123B" w:rsidRPr="002B42D3" w:rsidRDefault="0047123B">
            <w:pPr>
              <w:spacing w:line="240" w:lineRule="auto"/>
              <w:jc w:val="right"/>
              <w:rPr>
                <w:b/>
                <w:sz w:val="24"/>
                <w:szCs w:val="24"/>
                <w:lang w:val="en-GB"/>
              </w:rPr>
            </w:pPr>
            <w:r w:rsidRPr="002B42D3">
              <w:rPr>
                <w:b/>
                <w:sz w:val="24"/>
                <w:szCs w:val="24"/>
                <w:lang w:val="en-GB"/>
              </w:rPr>
              <w:t>DN: 910</w:t>
            </w:r>
          </w:p>
        </w:tc>
      </w:tr>
    </w:tbl>
    <w:p w14:paraId="61E8E1A1" w14:textId="77777777" w:rsidR="0047123B" w:rsidRPr="002B42D3" w:rsidRDefault="0047123B" w:rsidP="0047123B">
      <w:pPr>
        <w:spacing w:line="240" w:lineRule="auto"/>
        <w:rPr>
          <w:sz w:val="24"/>
          <w:szCs w:val="24"/>
          <w:lang w:val="en-GB"/>
        </w:rPr>
      </w:pPr>
    </w:p>
    <w:tbl>
      <w:tblPr>
        <w:tblW w:w="9759" w:type="dxa"/>
        <w:tblInd w:w="-120" w:type="dxa"/>
        <w:tblLayout w:type="fixed"/>
        <w:tblLook w:val="0600" w:firstRow="0" w:lastRow="0" w:firstColumn="0" w:lastColumn="0" w:noHBand="1" w:noVBand="1"/>
      </w:tblPr>
      <w:tblGrid>
        <w:gridCol w:w="2370"/>
        <w:gridCol w:w="7389"/>
      </w:tblGrid>
      <w:tr w:rsidR="0047123B" w:rsidRPr="00FF365E" w14:paraId="15585A30" w14:textId="77777777" w:rsidTr="00A95013">
        <w:tc>
          <w:tcPr>
            <w:tcW w:w="2370" w:type="dxa"/>
            <w:shd w:val="clear" w:color="auto" w:fill="F2F2F2" w:themeFill="background1" w:themeFillShade="F2"/>
            <w:tcMar>
              <w:top w:w="100" w:type="dxa"/>
              <w:left w:w="100" w:type="dxa"/>
              <w:bottom w:w="100" w:type="dxa"/>
              <w:right w:w="100" w:type="dxa"/>
            </w:tcMar>
          </w:tcPr>
          <w:p w14:paraId="3E24CFC1" w14:textId="77777777" w:rsidR="0047123B" w:rsidRPr="00FF365E" w:rsidRDefault="0047123B">
            <w:pPr>
              <w:widowControl w:val="0"/>
              <w:spacing w:line="240" w:lineRule="auto"/>
              <w:rPr>
                <w:sz w:val="24"/>
                <w:szCs w:val="24"/>
              </w:rPr>
            </w:pPr>
            <w:r w:rsidRPr="00FF365E">
              <w:rPr>
                <w:sz w:val="24"/>
                <w:szCs w:val="24"/>
              </w:rPr>
              <w:t>Auftragsumfang:</w:t>
            </w:r>
          </w:p>
        </w:tc>
        <w:tc>
          <w:tcPr>
            <w:tcW w:w="7389" w:type="dxa"/>
            <w:shd w:val="clear" w:color="auto" w:fill="F2F2F2" w:themeFill="background1" w:themeFillShade="F2"/>
            <w:tcMar>
              <w:top w:w="100" w:type="dxa"/>
              <w:left w:w="100" w:type="dxa"/>
              <w:bottom w:w="100" w:type="dxa"/>
              <w:right w:w="100" w:type="dxa"/>
            </w:tcMar>
          </w:tcPr>
          <w:p w14:paraId="2542F907" w14:textId="77777777" w:rsidR="0047123B" w:rsidRPr="00FF365E" w:rsidRDefault="0047123B">
            <w:pPr>
              <w:widowControl w:val="0"/>
              <w:spacing w:line="240" w:lineRule="auto"/>
              <w:rPr>
                <w:sz w:val="24"/>
                <w:szCs w:val="24"/>
              </w:rPr>
            </w:pPr>
            <w:bookmarkStart w:id="2" w:name="OLE_LINK16"/>
            <w:r w:rsidRPr="00FF365E">
              <w:rPr>
                <w:sz w:val="24"/>
                <w:szCs w:val="24"/>
              </w:rPr>
              <w:t xml:space="preserve"/>
            </w:r>
          </w:p>
        </w:tc>
      </w:tr>
      <w:tr w:rsidR="0047123B" w:rsidRPr="00FF365E" w14:paraId="7D4C9157" w14:textId="77777777" w:rsidTr="00A95013">
        <w:tc>
          <w:tcPr>
            <w:tcW w:w="2370" w:type="dxa"/>
            <w:shd w:val="clear" w:color="auto" w:fill="F2F2F2" w:themeFill="background1" w:themeFillShade="F2"/>
            <w:tcMar>
              <w:top w:w="100" w:type="dxa"/>
              <w:left w:w="100" w:type="dxa"/>
              <w:bottom w:w="100" w:type="dxa"/>
              <w:right w:w="100" w:type="dxa"/>
            </w:tcMar>
          </w:tcPr>
          <w:p w14:paraId="79889257" w14:textId="77777777" w:rsidR="0047123B" w:rsidRPr="00FF365E" w:rsidRDefault="0047123B">
            <w:pPr>
              <w:widowControl w:val="0"/>
              <w:spacing w:line="240" w:lineRule="auto"/>
              <w:rPr>
                <w:sz w:val="24"/>
                <w:szCs w:val="24"/>
              </w:rPr>
            </w:pPr>
            <w:r w:rsidRPr="00FF365E">
              <w:rPr>
                <w:sz w:val="24"/>
                <w:szCs w:val="24"/>
              </w:rPr>
              <w:t>Grund:</w:t>
            </w:r>
          </w:p>
        </w:tc>
        <w:tc>
          <w:tcPr>
            <w:tcW w:w="7389" w:type="dxa"/>
            <w:shd w:val="clear" w:color="auto" w:fill="F2F2F2" w:themeFill="background1" w:themeFillShade="F2"/>
            <w:tcMar>
              <w:top w:w="100" w:type="dxa"/>
              <w:left w:w="100" w:type="dxa"/>
              <w:bottom w:w="100" w:type="dxa"/>
              <w:right w:w="100" w:type="dxa"/>
            </w:tcMar>
          </w:tcPr>
          <w:p w14:paraId="07630893" w14:textId="77777777" w:rsidR="0047123B" w:rsidRPr="00FF365E" w:rsidRDefault="0047123B">
            <w:pPr>
              <w:widowControl w:val="0"/>
              <w:spacing w:line="240" w:lineRule="auto"/>
              <w:rPr>
                <w:sz w:val="24"/>
                <w:szCs w:val="24"/>
              </w:rPr>
            </w:pPr>
            <w:r w:rsidRPr="00FF365E">
              <w:rPr>
                <w:sz w:val="24"/>
                <w:szCs w:val="24"/>
              </w:rPr>
              <w:t>Novilon im Bad löst sich</w:t>
            </w:r>
          </w:p>
        </w:tc>
      </w:tr>
    </w:tbl>
    <w:p w14:paraId="7D70C1AB" w14:textId="77777777" w:rsidR="0047123B" w:rsidRPr="00FF365E" w:rsidRDefault="0047123B" w:rsidP="0047123B">
      <w:pPr>
        <w:spacing w:line="240" w:lineRule="auto"/>
        <w:rPr>
          <w:sz w:val="24"/>
          <w:szCs w:val="24"/>
        </w:rPr>
      </w:pPr>
    </w:p>
    <w:p w14:paraId="69C2C21E" w14:textId="77777777" w:rsidR="0047123B" w:rsidRPr="00FF365E" w:rsidRDefault="0047123B" w:rsidP="0047123B">
      <w:pPr>
        <w:spacing w:line="240" w:lineRule="auto"/>
        <w:rPr>
          <w:sz w:val="24"/>
          <w:szCs w:val="24"/>
        </w:rPr>
      </w:pPr>
    </w:p>
    <w:tbl>
      <w:tblPr>
        <w:tblW w:w="9759" w:type="dxa"/>
        <w:tblInd w:w="-120" w:type="dxa"/>
        <w:tblLayout w:type="fixed"/>
        <w:tblLook w:val="0600" w:firstRow="0" w:lastRow="0" w:firstColumn="0" w:lastColumn="0" w:noHBand="1" w:noVBand="1"/>
      </w:tblPr>
      <w:tblGrid>
        <w:gridCol w:w="2355"/>
        <w:gridCol w:w="2443"/>
        <w:gridCol w:w="2410"/>
        <w:gridCol w:w="2551"/>
      </w:tblGrid>
      <w:tr w:rsidR="0047123B" w:rsidRPr="00FF365E" w14:paraId="4DF8E28C" w14:textId="77777777" w:rsidTr="00A95013">
        <w:tc>
          <w:tcPr>
            <w:tcW w:w="2355" w:type="dxa"/>
            <w:shd w:val="clear" w:color="auto" w:fill="F2F2F2" w:themeFill="background1" w:themeFillShade="F2"/>
            <w:tcMar>
              <w:top w:w="100" w:type="dxa"/>
              <w:left w:w="100" w:type="dxa"/>
              <w:bottom w:w="100" w:type="dxa"/>
              <w:right w:w="100" w:type="dxa"/>
            </w:tcMar>
          </w:tcPr>
          <w:p w14:paraId="6F9DE29F" w14:textId="77777777" w:rsidR="0047123B" w:rsidRPr="00FF365E" w:rsidRDefault="0047123B">
            <w:pPr>
              <w:widowControl w:val="0"/>
              <w:pBdr>
                <w:top w:val="nil"/>
                <w:left w:val="nil"/>
                <w:bottom w:val="nil"/>
                <w:right w:val="nil"/>
                <w:between w:val="nil"/>
              </w:pBdr>
              <w:spacing w:line="240" w:lineRule="auto"/>
              <w:rPr>
                <w:sz w:val="24"/>
                <w:szCs w:val="24"/>
              </w:rPr>
            </w:pPr>
            <w:bookmarkStart w:id="6" w:name="OLE_LINK12"/>
            <w:bookmarkStart w:id="7" w:name="_Hlk185509567"/>
            <w:r w:rsidRPr="00FF365E">
              <w:rPr>
                <w:sz w:val="24"/>
                <w:szCs w:val="24"/>
              </w:rPr>
              <w:t>Auftraggeber</w:t>
            </w:r>
            <w:bookmarkEnd w:id="6"/>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70BD2EB" w14:textId="6A117D17" w:rsidR="0047123B" w:rsidRPr="00FF365E" w:rsidRDefault="0047123B">
            <w:pPr>
              <w:spacing w:line="240" w:lineRule="auto"/>
              <w:rPr>
                <w:sz w:val="24"/>
                <w:szCs w:val="24"/>
              </w:rPr>
            </w:pPr>
            <w:bookmarkStart w:id="8" w:name="OLE_LINK5"/>
            <w:r w:rsidRPr="00FF365E">
              <w:rPr>
                <w:sz w:val="24"/>
                <w:szCs w:val="24"/>
              </w:rPr>
              <w:t>Irene Alder</w:t>
            </w:r>
            <w:bookmarkEnd w:id="8"/>
          </w:p>
          <w:p w14:paraId="3BA73D3D" w14:textId="77777777" w:rsidR="0047123B" w:rsidRPr="00FF365E" w:rsidRDefault="0047123B">
            <w:pPr>
              <w:widowControl w:val="0"/>
              <w:pBdr>
                <w:top w:val="nil"/>
                <w:left w:val="nil"/>
                <w:bottom w:val="nil"/>
                <w:right w:val="nil"/>
                <w:between w:val="nil"/>
              </w:pBdr>
              <w:spacing w:line="240" w:lineRule="auto"/>
              <w:rPr>
                <w:sz w:val="24"/>
                <w:szCs w:val="24"/>
              </w:rPr>
            </w:pPr>
          </w:p>
        </w:tc>
        <w:tc>
          <w:tcPr>
            <w:tcW w:w="2410" w:type="dxa"/>
            <w:shd w:val="clear" w:color="auto" w:fill="F2F2F2" w:themeFill="background1" w:themeFillShade="F2"/>
            <w:tcMar>
              <w:top w:w="100" w:type="dxa"/>
              <w:left w:w="100" w:type="dxa"/>
              <w:bottom w:w="100" w:type="dxa"/>
              <w:right w:w="100" w:type="dxa"/>
            </w:tcMar>
          </w:tcPr>
          <w:p w14:paraId="19E52C06" w14:textId="77777777" w:rsidR="0047123B" w:rsidRPr="00FF365E" w:rsidRDefault="0047123B">
            <w:pPr>
              <w:widowControl w:val="0"/>
              <w:pBdr>
                <w:top w:val="nil"/>
                <w:left w:val="nil"/>
                <w:bottom w:val="nil"/>
                <w:right w:val="nil"/>
                <w:between w:val="nil"/>
              </w:pBdr>
              <w:spacing w:line="240" w:lineRule="auto"/>
              <w:rPr>
                <w:sz w:val="24"/>
                <w:szCs w:val="24"/>
              </w:rPr>
            </w:pPr>
            <w:r w:rsidRPr="00FF365E">
              <w:rPr>
                <w:sz w:val="24"/>
                <w:szCs w:val="24"/>
              </w:rPr>
              <w:t>Rechnungsadresse:</w:t>
            </w:r>
          </w:p>
        </w:tc>
        <w:tc>
          <w:tcPr>
            <w:tcW w:w="2551" w:type="dxa"/>
            <w:shd w:val="clear" w:color="auto" w:fill="F2F2F2" w:themeFill="background1" w:themeFillShade="F2"/>
            <w:tcMar>
              <w:top w:w="100" w:type="dxa"/>
              <w:left w:w="100" w:type="dxa"/>
              <w:bottom w:w="100" w:type="dxa"/>
              <w:right w:w="100" w:type="dxa"/>
            </w:tcMar>
          </w:tcPr>
          <w:p w14:paraId="07D69403" w14:textId="6D90034D" w:rsidR="0047123B" w:rsidRPr="00FF365E" w:rsidRDefault="0047123B">
            <w:pPr>
              <w:widowControl w:val="0"/>
              <w:pBdr>
                <w:top w:val="nil"/>
                <w:left w:val="nil"/>
                <w:bottom w:val="nil"/>
                <w:right w:val="nil"/>
                <w:between w:val="nil"/>
              </w:pBdr>
              <w:spacing w:line="240" w:lineRule="auto"/>
              <w:rPr>
                <w:sz w:val="24"/>
                <w:szCs w:val="24"/>
              </w:rPr>
            </w:pPr>
            <w:r w:rsidRPr="00FF365E">
              <w:rPr>
                <w:sz w:val="24"/>
                <w:szCs w:val="24"/>
              </w:rPr>
              <w:t xml:space="preserve">Grueb 1, 9100 Herisau, Schweiz</w:t>
            </w:r>
          </w:p>
        </w:tc>
      </w:tr>
      <w:tr w:rsidR="0047123B" w:rsidRPr="00AD5C91" w14:paraId="7F606FE0" w14:textId="77777777" w:rsidTr="00A95013">
        <w:tc>
          <w:tcPr>
            <w:tcW w:w="2355" w:type="dxa"/>
            <w:shd w:val="clear" w:color="auto" w:fill="F2F2F2" w:themeFill="background1" w:themeFillShade="F2"/>
            <w:tcMar>
              <w:top w:w="100" w:type="dxa"/>
              <w:left w:w="100" w:type="dxa"/>
              <w:bottom w:w="100" w:type="dxa"/>
              <w:right w:w="100" w:type="dxa"/>
            </w:tcMar>
          </w:tcPr>
          <w:p w14:paraId="6017FC2F" w14:textId="77777777" w:rsidR="0047123B" w:rsidRPr="00FF365E" w:rsidRDefault="0047123B">
            <w:pPr>
              <w:widowControl w:val="0"/>
              <w:spacing w:line="240" w:lineRule="auto"/>
              <w:rPr>
                <w:sz w:val="24"/>
                <w:szCs w:val="24"/>
              </w:rPr>
            </w:pPr>
            <w:bookmarkStart w:id="11" w:name="OLE_LINK9"/>
            <w:bookmarkEnd w:id="7"/>
            <w:r w:rsidRPr="00FF365E">
              <w:rPr>
                <w:sz w:val="24"/>
                <w:szCs w:val="24"/>
              </w:rPr>
              <w:t>Bauherr</w:t>
            </w:r>
            <w:bookmarkEnd w:id="11"/>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3E892BD" w14:textId="6CEA244A" w:rsidR="0047123B" w:rsidRPr="00770296" w:rsidRDefault="0047123B" w:rsidP="00A95013">
            <w:pPr>
              <w:widowControl w:val="0"/>
              <w:spacing w:line="240" w:lineRule="auto"/>
              <w:rPr>
                <w:sz w:val="24"/>
                <w:szCs w:val="24"/>
                <w:lang w:val="en-GB"/>
              </w:rPr>
            </w:pPr>
            <w:bookmarkStart w:id="12" w:name="OLE_LINK7"/>
            <w:r w:rsidRPr="00FF365E">
              <w:rPr>
                <w:sz w:val="24"/>
                <w:szCs w:val="24"/>
                <w:lang w:val="en-GB"/>
              </w:rPr>
              <w:t>Irene Alder</w:t>
            </w:r>
            <w:bookmarkEnd w:id="12"/>
            <w:r w:rsidRPr="00FF365E">
              <w:rPr>
                <w:sz w:val="24"/>
                <w:szCs w:val="24"/>
                <w:lang w:val="en-GB"/>
              </w:rPr>
              <w:t xml:space="preserve"> </w:t>
            </w:r>
            <w:bookmarkStart w:id="13" w:name="OLE_LINK13"/>
            <w:r w:rsidRPr="00FF365E">
              <w:rPr>
                <w:sz w:val="24"/>
                <w:szCs w:val="24"/>
                <w:lang w:val="en-GB"/>
              </w:rPr>
              <w:t xml:space="preserve">Grueb 1, 9100 Herisau, Schweiz</w:t>
            </w:r>
          </w:p>
        </w:tc>
        <w:tc>
          <w:tcPr>
            <w:tcW w:w="2410" w:type="dxa"/>
            <w:tcMar>
              <w:top w:w="100" w:type="dxa"/>
              <w:left w:w="100" w:type="dxa"/>
              <w:bottom w:w="100" w:type="dxa"/>
              <w:right w:w="100" w:type="dxa"/>
            </w:tcMar>
          </w:tcPr>
          <w:p w14:paraId="5C522198" w14:textId="77777777" w:rsidR="0047123B" w:rsidRPr="00770296" w:rsidRDefault="0047123B">
            <w:pPr>
              <w:widowControl w:val="0"/>
              <w:pBdr>
                <w:top w:val="nil"/>
                <w:left w:val="nil"/>
                <w:bottom w:val="nil"/>
                <w:right w:val="nil"/>
                <w:between w:val="nil"/>
              </w:pBdr>
              <w:spacing w:line="240" w:lineRule="auto"/>
              <w:rPr>
                <w:sz w:val="24"/>
                <w:szCs w:val="24"/>
                <w:lang w:val="en-GB"/>
              </w:rPr>
            </w:pPr>
          </w:p>
        </w:tc>
        <w:tc>
          <w:tcPr>
            <w:tcW w:w="2551" w:type="dxa"/>
            <w:tcMar>
              <w:top w:w="100" w:type="dxa"/>
              <w:left w:w="100" w:type="dxa"/>
              <w:bottom w:w="100" w:type="dxa"/>
              <w:right w:w="100" w:type="dxa"/>
            </w:tcMar>
          </w:tcPr>
          <w:p w14:paraId="55DFA241" w14:textId="77777777" w:rsidR="0047123B" w:rsidRPr="00770296" w:rsidRDefault="0047123B">
            <w:pPr>
              <w:widowControl w:val="0"/>
              <w:pBdr>
                <w:top w:val="nil"/>
                <w:left w:val="nil"/>
                <w:bottom w:val="nil"/>
                <w:right w:val="nil"/>
                <w:between w:val="nil"/>
              </w:pBdr>
              <w:spacing w:line="240" w:lineRule="auto"/>
              <w:rPr>
                <w:sz w:val="24"/>
                <w:szCs w:val="24"/>
                <w:lang w:val="en-GB"/>
              </w:rPr>
            </w:pPr>
          </w:p>
        </w:tc>
      </w:tr>
      <w:tr w:rsidR="0047123B" w:rsidRPr="00FF365E" w14:paraId="40B70090" w14:textId="77777777" w:rsidTr="00A95013">
        <w:tc>
          <w:tcPr>
            <w:tcW w:w="2355" w:type="dxa"/>
            <w:shd w:val="clear" w:color="auto" w:fill="F2F2F2" w:themeFill="background1" w:themeFillShade="F2"/>
          </w:tcPr>
          <w:p w14:paraId="31B0E388" w14:textId="77777777" w:rsidR="0047123B" w:rsidRPr="00FF365E" w:rsidRDefault="0047123B">
            <w:pPr>
              <w:spacing w:line="240" w:lineRule="auto"/>
              <w:rPr>
                <w:sz w:val="24"/>
                <w:szCs w:val="24"/>
              </w:rPr>
            </w:pPr>
            <w:r w:rsidRPr="00FF365E">
              <w:rPr>
                <w:sz w:val="24"/>
                <w:szCs w:val="24"/>
              </w:rPr>
              <w:t>Zeitpunkt der Untersuchung</w:t>
            </w:r>
          </w:p>
        </w:tc>
        <w:tc>
          <w:tcPr>
            <w:tcW w:w="2443" w:type="dxa"/>
            <w:shd w:val="clear" w:color="auto" w:fill="F2F2F2" w:themeFill="background1" w:themeFillShade="F2"/>
          </w:tcPr>
          <w:p w14:paraId="6A159552" w14:textId="77777777" w:rsidR="0047123B" w:rsidRPr="00FF365E" w:rsidRDefault="0047123B">
            <w:pPr>
              <w:spacing w:line="240" w:lineRule="auto"/>
              <w:rPr>
                <w:sz w:val="24"/>
                <w:szCs w:val="24"/>
              </w:rPr>
            </w:pPr>
            <w:r w:rsidRPr="00FF365E">
              <w:rPr>
                <w:sz w:val="24"/>
                <w:szCs w:val="24"/>
              </w:rPr>
              <w:t/>
            </w:r>
          </w:p>
        </w:tc>
        <w:tc>
          <w:tcPr>
            <w:tcW w:w="2410" w:type="dxa"/>
            <w:shd w:val="clear" w:color="auto" w:fill="F2F2F2" w:themeFill="background1" w:themeFillShade="F2"/>
            <w:tcMar>
              <w:top w:w="100" w:type="dxa"/>
              <w:left w:w="100" w:type="dxa"/>
              <w:bottom w:w="100" w:type="dxa"/>
              <w:right w:w="100" w:type="dxa"/>
            </w:tcMar>
          </w:tcPr>
          <w:p w14:paraId="590E5E7A" w14:textId="77777777" w:rsidR="0047123B" w:rsidRPr="00FF365E" w:rsidRDefault="0047123B">
            <w:pPr>
              <w:widowControl w:val="0"/>
              <w:pBdr>
                <w:top w:val="nil"/>
                <w:left w:val="nil"/>
                <w:bottom w:val="nil"/>
                <w:right w:val="nil"/>
                <w:between w:val="nil"/>
              </w:pBdr>
              <w:spacing w:line="240" w:lineRule="auto"/>
              <w:rPr>
                <w:sz w:val="24"/>
                <w:szCs w:val="24"/>
              </w:rPr>
            </w:pPr>
            <w:r w:rsidRPr="00FF365E">
              <w:rPr>
                <w:sz w:val="24"/>
                <w:szCs w:val="24"/>
              </w:rPr>
              <w:t>Während Untersuchung anwesend:</w:t>
            </w:r>
          </w:p>
        </w:tc>
        <w:tc>
          <w:tcPr>
            <w:tcW w:w="2551" w:type="dxa"/>
            <w:shd w:val="clear" w:color="auto" w:fill="F2F2F2" w:themeFill="background1" w:themeFillShade="F2"/>
            <w:tcMar>
              <w:top w:w="100" w:type="dxa"/>
              <w:left w:w="100" w:type="dxa"/>
              <w:bottom w:w="100" w:type="dxa"/>
              <w:right w:w="100" w:type="dxa"/>
            </w:tcMar>
          </w:tcPr>
          <w:p w14:paraId="174B598C" w14:textId="77777777" w:rsidR="0047123B" w:rsidRPr="00FF365E" w:rsidRDefault="0047123B">
            <w:pPr>
              <w:widowControl w:val="0"/>
              <w:pBdr>
                <w:top w:val="nil"/>
                <w:left w:val="nil"/>
                <w:bottom w:val="nil"/>
                <w:right w:val="nil"/>
                <w:between w:val="nil"/>
              </w:pBdr>
              <w:spacing w:line="240" w:lineRule="auto"/>
              <w:rPr>
                <w:sz w:val="24"/>
                <w:szCs w:val="24"/>
              </w:rPr>
            </w:pPr>
            <w:bookmarkStart w:id="15" w:name="OLE_LINK11"/>
            <w:bookmarkStart w:id="16" w:name="OLE_LINK10"/>
            <w:r w:rsidRPr="00FF365E">
              <w:rPr>
                <w:sz w:val="24"/>
                <w:szCs w:val="24"/>
              </w:rPr>
              <w:t/>
            </w:r>
          </w:p>
        </w:tc>
      </w:tr>
      <w:tr w:rsidR="0047123B" w:rsidRPr="00FF365E" w14:paraId="50EC67F4" w14:textId="77777777" w:rsidTr="00A95013">
        <w:tc>
          <w:tcPr>
            <w:tcW w:w="2355" w:type="dxa"/>
            <w:shd w:val="clear" w:color="auto" w:fill="F2F2F2" w:themeFill="background1" w:themeFillShade="F2"/>
          </w:tcPr>
          <w:p w14:paraId="479D70B3" w14:textId="77777777" w:rsidR="0047123B" w:rsidRPr="00FF365E" w:rsidRDefault="0047123B">
            <w:pPr>
              <w:spacing w:line="240" w:lineRule="auto"/>
              <w:rPr>
                <w:sz w:val="24"/>
                <w:szCs w:val="24"/>
              </w:rPr>
            </w:pPr>
            <w:r w:rsidRPr="00FF365E">
              <w:rPr>
                <w:sz w:val="24"/>
                <w:szCs w:val="24"/>
              </w:rPr>
              <w:t>Zusätzliche Beigabe</w:t>
            </w:r>
          </w:p>
        </w:tc>
        <w:tc>
          <w:tcPr>
            <w:tcW w:w="2443" w:type="dxa"/>
            <w:shd w:val="clear" w:color="auto" w:fill="F2F2F2" w:themeFill="background1" w:themeFillShade="F2"/>
          </w:tcPr>
          <w:p w14:paraId="7DF95B70" w14:textId="77777777" w:rsidR="0047123B" w:rsidRPr="00FF365E" w:rsidRDefault="0047123B">
            <w:pPr>
              <w:spacing w:line="240" w:lineRule="auto"/>
              <w:rPr>
                <w:sz w:val="24"/>
                <w:szCs w:val="24"/>
              </w:rPr>
            </w:pPr>
            <w:r w:rsidRPr="00FF365E">
              <w:rPr>
                <w:sz w:val="24"/>
                <w:szCs w:val="24"/>
              </w:rPr>
              <w:t>-Fotodok</w:t>
            </w:r>
            <w:r w:rsidRPr="00FF365E">
              <w:rPr>
                <w:sz w:val="24"/>
                <w:szCs w:val="24"/>
              </w:rPr>
              <w:br/>
              <w:t>-Pläne</w:t>
            </w:r>
            <w:r w:rsidRPr="00FF365E">
              <w:rPr>
                <w:sz w:val="24"/>
                <w:szCs w:val="24"/>
              </w:rPr>
              <w:br/>
              <w:t>-Resultate</w:t>
            </w:r>
          </w:p>
        </w:tc>
        <w:tc>
          <w:tcPr>
            <w:tcW w:w="2410" w:type="dxa"/>
            <w:tcMar>
              <w:top w:w="100" w:type="dxa"/>
              <w:left w:w="100" w:type="dxa"/>
              <w:bottom w:w="100" w:type="dxa"/>
              <w:right w:w="100" w:type="dxa"/>
            </w:tcMar>
          </w:tcPr>
          <w:p w14:paraId="6235E4C7" w14:textId="77777777" w:rsidR="0047123B" w:rsidRPr="00FF365E" w:rsidRDefault="0047123B">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48968155" w14:textId="77777777" w:rsidR="0047123B" w:rsidRPr="00FF365E" w:rsidRDefault="0047123B">
            <w:pPr>
              <w:widowControl w:val="0"/>
              <w:pBdr>
                <w:top w:val="nil"/>
                <w:left w:val="nil"/>
                <w:bottom w:val="nil"/>
                <w:right w:val="nil"/>
                <w:between w:val="nil"/>
              </w:pBdr>
              <w:spacing w:line="240" w:lineRule="auto"/>
              <w:rPr>
                <w:sz w:val="24"/>
                <w:szCs w:val="24"/>
              </w:rPr>
            </w:pPr>
          </w:p>
        </w:tc>
      </w:tr>
      <w:tr w:rsidR="0047123B" w:rsidRPr="00FF365E" w14:paraId="65972E09" w14:textId="77777777" w:rsidTr="00A95013">
        <w:trPr>
          <w:trHeight w:val="465"/>
        </w:trPr>
        <w:tc>
          <w:tcPr>
            <w:tcW w:w="2355" w:type="dxa"/>
          </w:tcPr>
          <w:p w14:paraId="185CDFD3" w14:textId="740854EC" w:rsidR="0047123B" w:rsidRPr="00FF365E" w:rsidRDefault="008B28FF">
            <w:pPr>
              <w:spacing w:line="240" w:lineRule="auto"/>
              <w:rPr>
                <w:sz w:val="24"/>
                <w:szCs w:val="24"/>
              </w:rPr>
            </w:pPr>
            <w:r>
              <w:rPr>
                <w:sz w:val="24"/>
                <w:szCs w:val="24"/>
              </w:rPr>
              <w:t>Ems</w:t>
            </w:r>
            <w:r w:rsidR="0047123B" w:rsidRPr="00FF365E">
              <w:rPr>
                <w:sz w:val="24"/>
                <w:szCs w:val="24"/>
              </w:rPr>
              <w:t>, 12 May 2026</w:t>
            </w:r>
          </w:p>
        </w:tc>
        <w:tc>
          <w:tcPr>
            <w:tcW w:w="2443" w:type="dxa"/>
          </w:tcPr>
          <w:p w14:paraId="3E034F82" w14:textId="77777777" w:rsidR="0047123B" w:rsidRPr="00FF365E" w:rsidRDefault="0047123B">
            <w:pPr>
              <w:spacing w:line="240" w:lineRule="auto"/>
              <w:rPr>
                <w:sz w:val="24"/>
                <w:szCs w:val="24"/>
              </w:rPr>
            </w:pPr>
          </w:p>
        </w:tc>
        <w:tc>
          <w:tcPr>
            <w:tcW w:w="2410" w:type="dxa"/>
            <w:tcMar>
              <w:top w:w="100" w:type="dxa"/>
              <w:left w:w="100" w:type="dxa"/>
              <w:bottom w:w="100" w:type="dxa"/>
              <w:right w:w="100" w:type="dxa"/>
            </w:tcMar>
          </w:tcPr>
          <w:p w14:paraId="200E0E5D" w14:textId="77777777" w:rsidR="0047123B" w:rsidRPr="00FF365E" w:rsidRDefault="0047123B">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5649BAFC" w14:textId="77777777" w:rsidR="0047123B" w:rsidRPr="00FF365E" w:rsidRDefault="0047123B">
            <w:pPr>
              <w:widowControl w:val="0"/>
              <w:pBdr>
                <w:top w:val="nil"/>
                <w:left w:val="nil"/>
                <w:bottom w:val="nil"/>
                <w:right w:val="nil"/>
                <w:between w:val="nil"/>
              </w:pBdr>
              <w:spacing w:line="240" w:lineRule="auto"/>
              <w:rPr>
                <w:sz w:val="24"/>
                <w:szCs w:val="24"/>
              </w:rPr>
            </w:pPr>
          </w:p>
        </w:tc>
      </w:tr>
      <w:tr w:rsidR="0047123B" w:rsidRPr="00FF365E" w14:paraId="7ADC1E40" w14:textId="77777777" w:rsidTr="00A95013">
        <w:trPr>
          <w:trHeight w:val="390"/>
        </w:trPr>
        <w:tc>
          <w:tcPr>
            <w:tcW w:w="2355" w:type="dxa"/>
          </w:tcPr>
          <w:p w14:paraId="4C5CE656" w14:textId="1385E5EE" w:rsidR="0047123B" w:rsidRPr="00FF365E" w:rsidRDefault="00D4145D">
            <w:pPr>
              <w:spacing w:line="240" w:lineRule="auto"/>
              <w:rPr>
                <w:sz w:val="24"/>
                <w:szCs w:val="24"/>
              </w:rPr>
            </w:pPr>
            <w:r>
              <w:rPr>
                <w:sz w:val="24"/>
                <w:szCs w:val="24"/>
              </w:rPr>
              <w:t>Jud Alexander</w:t>
            </w:r>
          </w:p>
        </w:tc>
        <w:tc>
          <w:tcPr>
            <w:tcW w:w="2443" w:type="dxa"/>
          </w:tcPr>
          <w:p w14:paraId="22FD4C48" w14:textId="77777777" w:rsidR="0047123B" w:rsidRPr="00FF365E" w:rsidRDefault="0047123B">
            <w:pPr>
              <w:spacing w:line="240" w:lineRule="auto"/>
              <w:rPr>
                <w:sz w:val="24"/>
                <w:szCs w:val="24"/>
              </w:rPr>
            </w:pPr>
          </w:p>
        </w:tc>
        <w:tc>
          <w:tcPr>
            <w:tcW w:w="2410" w:type="dxa"/>
            <w:tcMar>
              <w:top w:w="100" w:type="dxa"/>
              <w:left w:w="100" w:type="dxa"/>
              <w:bottom w:w="100" w:type="dxa"/>
              <w:right w:w="100" w:type="dxa"/>
            </w:tcMar>
          </w:tcPr>
          <w:p w14:paraId="6A64343B" w14:textId="77777777" w:rsidR="0047123B" w:rsidRPr="00FF365E" w:rsidRDefault="0047123B">
            <w:pPr>
              <w:widowControl w:val="0"/>
              <w:pBdr>
                <w:top w:val="nil"/>
                <w:left w:val="nil"/>
                <w:bottom w:val="nil"/>
                <w:right w:val="nil"/>
                <w:between w:val="nil"/>
              </w:pBdr>
              <w:spacing w:line="240" w:lineRule="auto"/>
              <w:rPr>
                <w:sz w:val="24"/>
                <w:szCs w:val="24"/>
              </w:rPr>
            </w:pPr>
          </w:p>
        </w:tc>
        <w:tc>
          <w:tcPr>
            <w:tcW w:w="2551" w:type="dxa"/>
            <w:tcMar>
              <w:top w:w="100" w:type="dxa"/>
              <w:left w:w="100" w:type="dxa"/>
              <w:bottom w:w="100" w:type="dxa"/>
              <w:right w:w="100" w:type="dxa"/>
            </w:tcMar>
          </w:tcPr>
          <w:p w14:paraId="21349F9D" w14:textId="77777777" w:rsidR="0047123B" w:rsidRPr="00FF365E" w:rsidRDefault="0047123B">
            <w:pPr>
              <w:widowControl w:val="0"/>
              <w:pBdr>
                <w:top w:val="nil"/>
                <w:left w:val="nil"/>
                <w:bottom w:val="nil"/>
                <w:right w:val="nil"/>
                <w:between w:val="nil"/>
              </w:pBdr>
              <w:spacing w:line="240" w:lineRule="auto"/>
              <w:rPr>
                <w:sz w:val="24"/>
                <w:szCs w:val="24"/>
              </w:rPr>
            </w:pPr>
          </w:p>
        </w:tc>
      </w:tr>
    </w:tbl>
    <w:p w14:paraId="17889383" w14:textId="453B1319" w:rsidR="00527FA2" w:rsidRPr="00503D42" w:rsidRDefault="008B28FF" w:rsidP="00A53CA1">
      <w:pPr>
        <w:pBdr>
          <w:top w:val="nil"/>
          <w:left w:val="nil"/>
          <w:bottom w:val="nil"/>
          <w:right w:val="nil"/>
          <w:between w:val="nil"/>
        </w:pBdr>
        <w:shd w:val="clear" w:color="auto" w:fill="FFFFFF"/>
        <w:rPr>
          <w:sz w:val="24"/>
          <w:szCs w:val="24"/>
          <w:lang w:val="it-IT"/>
        </w:rPr>
      </w:pPr>
      <w:bookmarkStart w:id="18" w:name="_2et92p0" w:colFirst="0" w:colLast="0"/>
      <w:bookmarkStart w:id="19" w:name="OLE_LINK41"/>
      <w:bookmarkEnd w:id="18"/>
      <w:r w:rsidRPr="00503D42">
        <w:rPr>
          <w:sz w:val="24"/>
          <w:szCs w:val="24"/>
          <w:lang w:val="it-IT"/>
        </w:rPr>
        <w:t>Asbesttest.ch GmbH</w:t>
      </w:r>
      <w:r w:rsidRPr="00503D42">
        <w:rPr>
          <w:sz w:val="24"/>
          <w:szCs w:val="24"/>
          <w:lang w:val="it-IT"/>
        </w:rPr>
        <w:br/>
        <w:t xml:space="preserve">Via </w:t>
      </w:r>
      <w:r w:rsidR="00503D42" w:rsidRPr="00503D42">
        <w:rPr>
          <w:sz w:val="24"/>
          <w:szCs w:val="24"/>
          <w:lang w:val="it-IT"/>
        </w:rPr>
        <w:t>da Mun</w:t>
      </w:r>
      <w:r w:rsidR="00503D42">
        <w:rPr>
          <w:sz w:val="24"/>
          <w:szCs w:val="24"/>
          <w:lang w:val="it-IT"/>
        </w:rPr>
        <w:t>t 33</w:t>
      </w:r>
      <w:r w:rsidRPr="00503D42">
        <w:rPr>
          <w:sz w:val="24"/>
          <w:szCs w:val="24"/>
          <w:lang w:val="it-IT"/>
        </w:rPr>
        <w:br/>
        <w:t>7013 Domat/Ems</w:t>
      </w:r>
    </w:p>
    <w:p w14:paraId="3D9C1072" w14:textId="77777777" w:rsidR="00527FA2" w:rsidRPr="00503D42" w:rsidRDefault="00527FA2">
      <w:pPr>
        <w:rPr>
          <w:sz w:val="24"/>
          <w:szCs w:val="24"/>
          <w:lang w:val="it-IT"/>
        </w:rPr>
      </w:pPr>
      <w:r w:rsidRPr="00503D42">
        <w:rPr>
          <w:sz w:val="24"/>
          <w:szCs w:val="24"/>
          <w:lang w:val="it-IT"/>
        </w:rPr>
        <w:br w:type="page"/>
      </w:r>
    </w:p>
    <w:p w14:paraId="0B607872" w14:textId="6D8FB83E" w:rsidR="00A53CA1" w:rsidRPr="00FF365E" w:rsidRDefault="00A53CA1" w:rsidP="00A53CA1">
      <w:pPr>
        <w:pBdr>
          <w:top w:val="nil"/>
          <w:left w:val="nil"/>
          <w:bottom w:val="nil"/>
          <w:right w:val="nil"/>
          <w:between w:val="nil"/>
        </w:pBdr>
        <w:shd w:val="clear" w:color="auto" w:fill="FFFFFF"/>
        <w:rPr>
          <w:sz w:val="24"/>
          <w:szCs w:val="24"/>
        </w:rPr>
      </w:pPr>
      <w:r w:rsidRPr="00FF365E">
        <w:rPr>
          <w:sz w:val="24"/>
          <w:szCs w:val="24"/>
        </w:rPr>
        <w:lastRenderedPageBreak/>
        <w:t xml:space="preserve">Nachfolgend finden Sie eine Übersicht der wesentlichen gesetzlichen Grundlagen und Richtlinien, die für den Umgang mit umwelt- und gesundheitsgefährdenden Stoffen relevant sind: </w:t>
      </w:r>
    </w:p>
    <w:p w14:paraId="0EF97307" w14:textId="77777777" w:rsidR="00A53CA1" w:rsidRDefault="00A53CA1" w:rsidP="00A53CA1">
      <w:pPr>
        <w:pBdr>
          <w:top w:val="nil"/>
          <w:left w:val="nil"/>
          <w:bottom w:val="nil"/>
          <w:right w:val="nil"/>
          <w:between w:val="nil"/>
        </w:pBdr>
        <w:shd w:val="clear" w:color="auto" w:fill="FFFFFF"/>
      </w:pPr>
    </w:p>
    <w:p w14:paraId="66DB8BA3" w14:textId="77777777" w:rsidR="00770296" w:rsidRPr="00FF365E" w:rsidRDefault="00770296" w:rsidP="00A53CA1">
      <w:pPr>
        <w:pBdr>
          <w:top w:val="nil"/>
          <w:left w:val="nil"/>
          <w:bottom w:val="nil"/>
          <w:right w:val="nil"/>
          <w:between w:val="nil"/>
        </w:pBdr>
        <w:shd w:val="clear" w:color="auto" w:fill="FFFFFF"/>
      </w:pPr>
    </w:p>
    <w:p w14:paraId="12BE7D35"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 xml:space="preserve">Umweltschutzgesetz (USG): Regelt den Schutz der Umwelt vor schädlichen Einwirkungen (Stand: 1. Januar 2022). </w:t>
      </w:r>
    </w:p>
    <w:p w14:paraId="30D60D6E" w14:textId="77777777" w:rsidR="00A53CA1" w:rsidRPr="00FF365E" w:rsidRDefault="00A53CA1" w:rsidP="00A53CA1">
      <w:pPr>
        <w:widowControl w:val="0"/>
        <w:spacing w:before="41"/>
        <w:ind w:right="-122"/>
        <w:rPr>
          <w:b/>
          <w:bCs/>
          <w:sz w:val="24"/>
          <w:szCs w:val="24"/>
        </w:rPr>
      </w:pPr>
    </w:p>
    <w:p w14:paraId="1ECE1120"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Chemikalien-Risikoreduktions-Verordnung (ChemRRV): Vorschriften zur Reduktion von Risiken beim Umgang mit gefährlichen Stoffen</w:t>
      </w:r>
      <w:r w:rsidRPr="00FF365E">
        <w:rPr>
          <w:b/>
          <w:bCs/>
          <w:sz w:val="24"/>
          <w:szCs w:val="24"/>
        </w:rPr>
        <w:br/>
        <w:t>(Stand: 6. Oktober 2022).</w:t>
      </w:r>
    </w:p>
    <w:p w14:paraId="6273BC22" w14:textId="77777777" w:rsidR="00A53CA1" w:rsidRPr="00FF365E" w:rsidRDefault="00A53CA1" w:rsidP="00A53CA1">
      <w:pPr>
        <w:widowControl w:val="0"/>
        <w:spacing w:before="41"/>
        <w:ind w:right="-122"/>
        <w:rPr>
          <w:b/>
          <w:bCs/>
          <w:sz w:val="24"/>
          <w:szCs w:val="24"/>
        </w:rPr>
      </w:pPr>
    </w:p>
    <w:p w14:paraId="0D055772"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 xml:space="preserve">Unfallversicherungsgesetz (UVG) und Verordnung über die Unfallverhütung (VUV): Rahmenbedingungen für die Verhütung von Unfällen und Berufskrankheiten (Stand: 1. Januar 2022). </w:t>
      </w:r>
    </w:p>
    <w:p w14:paraId="20F863E4" w14:textId="77777777" w:rsidR="00A53CA1" w:rsidRPr="00FF365E" w:rsidRDefault="00A53CA1" w:rsidP="00A53CA1">
      <w:pPr>
        <w:widowControl w:val="0"/>
        <w:spacing w:before="41"/>
        <w:ind w:right="-122"/>
        <w:rPr>
          <w:b/>
          <w:bCs/>
          <w:sz w:val="24"/>
          <w:szCs w:val="24"/>
        </w:rPr>
      </w:pPr>
    </w:p>
    <w:p w14:paraId="741CF37F"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Abfallverordnungen (VVEA, VeVA): Regelungen zur Vermeidung, Entsorgung und zum Verkehr mit Abfällen (Stand: 1. Januar 2023).</w:t>
      </w:r>
    </w:p>
    <w:p w14:paraId="15B64EE4" w14:textId="77777777" w:rsidR="00A53CA1" w:rsidRPr="00FF365E" w:rsidRDefault="00A53CA1" w:rsidP="00A53CA1">
      <w:pPr>
        <w:widowControl w:val="0"/>
        <w:spacing w:before="41"/>
        <w:ind w:right="-122"/>
        <w:rPr>
          <w:b/>
          <w:bCs/>
          <w:sz w:val="24"/>
          <w:szCs w:val="24"/>
        </w:rPr>
      </w:pPr>
    </w:p>
    <w:p w14:paraId="0DFD4F22"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Asbest-Richtlinien und SUVA-Factsheets: Umfassende Anweisungen zum sicheren Umgang mit Asbest in verschiedenen Anwendungen, sowie Hinweise zur Sanierung und Rückbau (verschiedene Stände).</w:t>
      </w:r>
    </w:p>
    <w:p w14:paraId="49D177B5" w14:textId="77777777" w:rsidR="00A53CA1" w:rsidRPr="00FF365E" w:rsidRDefault="00A53CA1" w:rsidP="00A53CA1">
      <w:pPr>
        <w:widowControl w:val="0"/>
        <w:spacing w:before="41"/>
        <w:ind w:right="-122"/>
        <w:rPr>
          <w:b/>
          <w:bCs/>
          <w:sz w:val="24"/>
          <w:szCs w:val="24"/>
        </w:rPr>
      </w:pPr>
    </w:p>
    <w:p w14:paraId="03EA48FA"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 xml:space="preserve">ILO-Übereinkommen Nr. 162: Internationale Standards zur Sicherheit bei der Verwendung von Asbest. </w:t>
      </w:r>
    </w:p>
    <w:p w14:paraId="4DFE59B7" w14:textId="77777777" w:rsidR="00A53CA1" w:rsidRPr="00FF365E" w:rsidRDefault="00A53CA1" w:rsidP="00A53CA1">
      <w:pPr>
        <w:widowControl w:val="0"/>
        <w:spacing w:before="41"/>
        <w:ind w:right="-122"/>
        <w:rPr>
          <w:b/>
          <w:bCs/>
          <w:sz w:val="24"/>
          <w:szCs w:val="24"/>
        </w:rPr>
      </w:pPr>
    </w:p>
    <w:p w14:paraId="31C4927B"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 xml:space="preserve">PCB-Richtlinien und Wegleitungen: Spezifische Vorgaben zur sachgerechten Entfernung und Entsorgung von PCB-haltigen Materialien (Stand: 2020). </w:t>
      </w:r>
    </w:p>
    <w:p w14:paraId="5D3439B8" w14:textId="77777777" w:rsidR="00A53CA1" w:rsidRPr="00FF365E" w:rsidRDefault="00A53CA1" w:rsidP="00A53CA1">
      <w:pPr>
        <w:widowControl w:val="0"/>
        <w:spacing w:before="41"/>
        <w:ind w:right="-122"/>
        <w:rPr>
          <w:b/>
          <w:bCs/>
          <w:sz w:val="24"/>
          <w:szCs w:val="24"/>
        </w:rPr>
      </w:pPr>
    </w:p>
    <w:p w14:paraId="37973B29" w14:textId="5376ABE8"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 xml:space="preserve">EKAS-Richtlinie Nr. 6503 „Asbest“, SUVA, </w:t>
      </w:r>
      <w:r w:rsidR="00503D42">
        <w:rPr>
          <w:b/>
          <w:bCs/>
          <w:sz w:val="24"/>
          <w:szCs w:val="24"/>
        </w:rPr>
        <w:t>August 2025</w:t>
      </w:r>
      <w:r w:rsidRPr="00FF365E">
        <w:rPr>
          <w:b/>
          <w:bCs/>
          <w:sz w:val="24"/>
          <w:szCs w:val="24"/>
        </w:rPr>
        <w:t>.</w:t>
      </w:r>
    </w:p>
    <w:p w14:paraId="3FC55C47" w14:textId="77777777" w:rsidR="00A53CA1" w:rsidRPr="00FF365E" w:rsidRDefault="00A53CA1" w:rsidP="00A53CA1">
      <w:pPr>
        <w:widowControl w:val="0"/>
        <w:spacing w:before="41"/>
        <w:ind w:right="-122"/>
        <w:rPr>
          <w:b/>
          <w:bCs/>
          <w:sz w:val="24"/>
          <w:szCs w:val="24"/>
        </w:rPr>
      </w:pPr>
    </w:p>
    <w:p w14:paraId="1171D51B" w14:textId="77777777" w:rsidR="00A53CA1" w:rsidRPr="00FF365E" w:rsidRDefault="00A53CA1" w:rsidP="00A53CA1">
      <w:pPr>
        <w:pStyle w:val="Listenabsatz"/>
        <w:widowControl w:val="0"/>
        <w:numPr>
          <w:ilvl w:val="0"/>
          <w:numId w:val="10"/>
        </w:numPr>
        <w:spacing w:before="41"/>
        <w:ind w:right="-122"/>
        <w:rPr>
          <w:b/>
          <w:bCs/>
          <w:sz w:val="24"/>
          <w:szCs w:val="24"/>
        </w:rPr>
      </w:pPr>
      <w:r w:rsidRPr="00FF365E">
        <w:rPr>
          <w:b/>
          <w:bCs/>
          <w:sz w:val="24"/>
          <w:szCs w:val="24"/>
        </w:rPr>
        <w:t>(H)FCKW geschäumte Altdämmstoffe im Bauwesen (Müll und Abfall - Fachzeitschrift für Abfall- und Ressourcenwirtschaft, Ausgabe 04/2011,</w:t>
      </w:r>
      <w:r w:rsidRPr="00FF365E">
        <w:rPr>
          <w:b/>
          <w:bCs/>
          <w:sz w:val="24"/>
          <w:szCs w:val="24"/>
        </w:rPr>
        <w:br/>
        <w:t>Seiten 169 - 174)</w:t>
      </w:r>
    </w:p>
    <w:p w14:paraId="570920F5" w14:textId="77777777" w:rsidR="00A53CA1" w:rsidRPr="00FF365E" w:rsidRDefault="00A53CA1" w:rsidP="00A53CA1">
      <w:pPr>
        <w:widowControl w:val="0"/>
        <w:spacing w:before="41"/>
        <w:ind w:right="-122"/>
        <w:rPr>
          <w:b/>
          <w:bCs/>
          <w:sz w:val="24"/>
          <w:szCs w:val="24"/>
        </w:rPr>
      </w:pPr>
    </w:p>
    <w:p w14:paraId="14424108" w14:textId="77777777" w:rsidR="00A53CA1" w:rsidRDefault="00A53CA1" w:rsidP="00A53CA1">
      <w:pPr>
        <w:pStyle w:val="Listenabsatz"/>
        <w:widowControl w:val="0"/>
        <w:numPr>
          <w:ilvl w:val="0"/>
          <w:numId w:val="10"/>
        </w:numPr>
        <w:spacing w:before="41"/>
        <w:ind w:right="-122"/>
        <w:rPr>
          <w:b/>
          <w:bCs/>
          <w:sz w:val="24"/>
          <w:szCs w:val="24"/>
        </w:rPr>
      </w:pPr>
      <w:r w:rsidRPr="00FF365E">
        <w:rPr>
          <w:b/>
          <w:bCs/>
          <w:sz w:val="24"/>
          <w:szCs w:val="24"/>
        </w:rPr>
        <w:t>"Good Practice" zum Umgang mit Fliesenkleber, Verputz und Spachtelmasse  (Stand März 2018)</w:t>
      </w:r>
    </w:p>
    <w:p w14:paraId="6DEFE0BB" w14:textId="77777777" w:rsidR="00503D42" w:rsidRPr="00503D42" w:rsidRDefault="00503D42" w:rsidP="00503D42">
      <w:pPr>
        <w:pStyle w:val="Listenabsatz"/>
        <w:rPr>
          <w:b/>
          <w:bCs/>
          <w:sz w:val="24"/>
          <w:szCs w:val="24"/>
        </w:rPr>
      </w:pPr>
    </w:p>
    <w:p w14:paraId="506DB6DA" w14:textId="24C92156" w:rsidR="00A53CA1" w:rsidRPr="00503D42" w:rsidRDefault="00503D42" w:rsidP="00503D42">
      <w:pPr>
        <w:pStyle w:val="Listenabsatz"/>
        <w:widowControl w:val="0"/>
        <w:numPr>
          <w:ilvl w:val="0"/>
          <w:numId w:val="10"/>
        </w:numPr>
        <w:spacing w:before="41"/>
        <w:ind w:right="-122"/>
        <w:rPr>
          <w:b/>
          <w:bCs/>
          <w:sz w:val="24"/>
          <w:szCs w:val="24"/>
        </w:rPr>
      </w:pPr>
      <w:r w:rsidRPr="00503D42">
        <w:rPr>
          <w:b/>
          <w:bCs/>
          <w:sz w:val="24"/>
          <w:szCs w:val="24"/>
        </w:rPr>
        <w:t>Polludoc-Bericht „Entsorgung asbesthaltiger Rückbaumaterialien“ Dezember 2024</w:t>
      </w:r>
      <w:bookmarkStart w:id="20" w:name="_heading=h.30j0zll" w:colFirst="0" w:colLast="0"/>
      <w:bookmarkStart w:id="21" w:name="_heading=h.3znysh7" w:colFirst="0" w:colLast="0"/>
      <w:bookmarkStart w:id="22" w:name="_heading=h.mbcpup475s1x" w:colFirst="0" w:colLast="0"/>
      <w:bookmarkEnd w:id="20"/>
      <w:bookmarkEnd w:id="21"/>
      <w:bookmarkEnd w:id="22"/>
    </w:p>
    <w:p w14:paraId="5FE03EBD" w14:textId="77777777" w:rsidR="0047123B" w:rsidRPr="00FF365E" w:rsidRDefault="0047123B" w:rsidP="0047123B">
      <w:pPr>
        <w:pStyle w:val="berschrift1"/>
        <w:numPr>
          <w:ilvl w:val="0"/>
          <w:numId w:val="5"/>
        </w:numPr>
        <w:spacing w:before="240" w:after="0" w:line="240" w:lineRule="auto"/>
        <w:rPr>
          <w:rFonts w:eastAsia="Calibri"/>
          <w:b/>
          <w:color w:val="2F5496"/>
          <w:sz w:val="32"/>
          <w:szCs w:val="32"/>
        </w:rPr>
      </w:pPr>
      <w:r w:rsidRPr="00FF365E">
        <w:rPr>
          <w:rFonts w:eastAsia="Calibri"/>
          <w:b/>
          <w:color w:val="2F5496"/>
          <w:sz w:val="32"/>
          <w:szCs w:val="32"/>
        </w:rPr>
        <w:lastRenderedPageBreak/>
        <w:t>Schadstoffuntersuchung</w:t>
      </w:r>
    </w:p>
    <w:bookmarkEnd w:id="19"/>
    <w:p w14:paraId="38D3B832" w14:textId="77777777" w:rsidR="0047123B" w:rsidRPr="00FF365E" w:rsidRDefault="0047123B" w:rsidP="0047123B">
      <w:pPr>
        <w:spacing w:line="240" w:lineRule="auto"/>
        <w:rPr>
          <w:color w:val="0070C0"/>
          <w:sz w:val="24"/>
          <w:szCs w:val="24"/>
        </w:rPr>
      </w:pPr>
    </w:p>
    <w:p w14:paraId="2D4E2058" w14:textId="77777777" w:rsidR="0047123B" w:rsidRPr="00FF365E" w:rsidRDefault="0047123B" w:rsidP="0047123B">
      <w:pPr>
        <w:pStyle w:val="berschrift2"/>
        <w:numPr>
          <w:ilvl w:val="1"/>
          <w:numId w:val="5"/>
        </w:numPr>
        <w:spacing w:before="40" w:after="0" w:line="240" w:lineRule="auto"/>
        <w:rPr>
          <w:rFonts w:eastAsia="Calibri"/>
          <w:b/>
          <w:color w:val="2F5496"/>
          <w:sz w:val="26"/>
          <w:szCs w:val="26"/>
        </w:rPr>
      </w:pPr>
      <w:bookmarkStart w:id="23" w:name="_tyjcwt" w:colFirst="0" w:colLast="0"/>
      <w:bookmarkEnd w:id="23"/>
      <w:r w:rsidRPr="00FF365E">
        <w:rPr>
          <w:rFonts w:eastAsia="Calibri"/>
          <w:b/>
          <w:color w:val="2F5496"/>
          <w:sz w:val="26"/>
          <w:szCs w:val="26"/>
        </w:rPr>
        <w:t>Ausgeführte Leistungen</w:t>
      </w:r>
    </w:p>
    <w:p w14:paraId="293BA311" w14:textId="77777777" w:rsidR="0047123B" w:rsidRPr="00FF365E" w:rsidRDefault="0047123B" w:rsidP="0047123B">
      <w:pPr>
        <w:spacing w:line="240" w:lineRule="auto"/>
        <w:rPr>
          <w:sz w:val="24"/>
          <w:szCs w:val="24"/>
        </w:rPr>
      </w:pPr>
    </w:p>
    <w:p w14:paraId="43FBCB17" w14:textId="77777777" w:rsidR="00503D42" w:rsidRPr="00503D42" w:rsidRDefault="00503D42" w:rsidP="00503D42">
      <w:pPr>
        <w:numPr>
          <w:ilvl w:val="0"/>
          <w:numId w:val="13"/>
        </w:numPr>
        <w:spacing w:line="240" w:lineRule="auto"/>
        <w:rPr>
          <w:sz w:val="24"/>
          <w:szCs w:val="24"/>
          <w:lang w:val="de-DE"/>
        </w:rPr>
      </w:pPr>
      <w:bookmarkStart w:id="24" w:name="_Hlk212796997"/>
      <w:r w:rsidRPr="00503D42">
        <w:rPr>
          <w:sz w:val="24"/>
          <w:szCs w:val="24"/>
          <w:lang w:val="de-DE"/>
        </w:rPr>
        <w:t>Probenahme von verdächtigen Materialien und Bausubstanz (gem. Good Practice März 2018)</w:t>
      </w:r>
    </w:p>
    <w:p w14:paraId="2DAB02BB"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Beurteilung der Bausubstanz vor Ort</w:t>
      </w:r>
    </w:p>
    <w:p w14:paraId="14947D74"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Identifikation von Verdachtsflächen (Materialien und Bausubstanz)</w:t>
      </w:r>
    </w:p>
    <w:p w14:paraId="1F9D837D"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Probenahme von verdächtigen Materialien und Bausubstanz</w:t>
      </w:r>
    </w:p>
    <w:p w14:paraId="78CA1CA9"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Aufnahme des Ausmasses von verdächtigen bzw. beprobten Materialien, soweit dies möglich war</w:t>
      </w:r>
    </w:p>
    <w:p w14:paraId="7CBA7FD1"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 xml:space="preserve">Fotodokumentation der verdächtigen Materialien und Bausubstanz </w:t>
      </w:r>
    </w:p>
    <w:p w14:paraId="19C68205"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 xml:space="preserve">Beschreibung des Analyseauftrags und Versand der Materialproben ins Labor </w:t>
      </w:r>
    </w:p>
    <w:p w14:paraId="6F76AE7D"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 xml:space="preserve">Auswertung, Interpretation und Dokumentation der Analyseresultate </w:t>
      </w:r>
    </w:p>
    <w:p w14:paraId="3710E5D9" w14:textId="77777777" w:rsidR="00503D42" w:rsidRPr="00503D42" w:rsidRDefault="00503D42" w:rsidP="00503D42">
      <w:pPr>
        <w:numPr>
          <w:ilvl w:val="0"/>
          <w:numId w:val="13"/>
        </w:numPr>
        <w:spacing w:line="240" w:lineRule="auto"/>
        <w:rPr>
          <w:sz w:val="24"/>
          <w:szCs w:val="24"/>
          <w:lang w:val="de-DE"/>
        </w:rPr>
      </w:pPr>
      <w:r w:rsidRPr="00503D42">
        <w:rPr>
          <w:sz w:val="24"/>
          <w:szCs w:val="24"/>
          <w:lang w:val="de-DE"/>
        </w:rPr>
        <w:t xml:space="preserve">Berichterstattung </w:t>
      </w:r>
    </w:p>
    <w:p w14:paraId="487CF90D" w14:textId="3D22FDDF" w:rsidR="00503D42" w:rsidRPr="00503D42" w:rsidRDefault="00503D42" w:rsidP="00503D42">
      <w:pPr>
        <w:numPr>
          <w:ilvl w:val="0"/>
          <w:numId w:val="13"/>
        </w:numPr>
        <w:spacing w:line="240" w:lineRule="auto"/>
        <w:rPr>
          <w:sz w:val="24"/>
          <w:szCs w:val="24"/>
          <w:lang w:val="de-DE"/>
        </w:rPr>
      </w:pPr>
      <w:r w:rsidRPr="00503D42">
        <w:rPr>
          <w:sz w:val="24"/>
          <w:szCs w:val="24"/>
          <w:lang w:val="de-DE"/>
        </w:rPr>
        <w:t xml:space="preserve">Laboranalytik </w:t>
      </w:r>
      <w:bookmarkEnd w:id="24"/>
      <w:r>
        <w:rPr>
          <w:sz w:val="24"/>
          <w:szCs w:val="24"/>
          <w:lang w:val="de-DE"/>
        </w:rPr>
        <w:t>durch ein SUVA zertifiziertes, schweizer Labor</w:t>
      </w:r>
    </w:p>
    <w:p w14:paraId="56DA1710" w14:textId="77777777" w:rsidR="0047123B" w:rsidRPr="00503D42" w:rsidRDefault="0047123B" w:rsidP="0047123B">
      <w:pPr>
        <w:spacing w:line="240" w:lineRule="auto"/>
        <w:rPr>
          <w:sz w:val="24"/>
          <w:szCs w:val="24"/>
          <w:lang w:val="de-DE"/>
        </w:rPr>
      </w:pPr>
    </w:p>
    <w:p w14:paraId="07B397E2" w14:textId="77777777" w:rsidR="0047123B" w:rsidRPr="00503D42" w:rsidRDefault="0047123B" w:rsidP="0047123B">
      <w:pPr>
        <w:spacing w:line="240" w:lineRule="auto"/>
        <w:rPr>
          <w:sz w:val="24"/>
          <w:szCs w:val="24"/>
          <w:lang w:val="de-DE"/>
        </w:rPr>
      </w:pPr>
    </w:p>
    <w:p w14:paraId="0FD66F21" w14:textId="77777777" w:rsidR="0047123B" w:rsidRPr="00FF365E" w:rsidRDefault="0047123B" w:rsidP="0047123B">
      <w:pPr>
        <w:pStyle w:val="berschrift2"/>
        <w:numPr>
          <w:ilvl w:val="1"/>
          <w:numId w:val="5"/>
        </w:numPr>
        <w:spacing w:before="40" w:after="0" w:line="240" w:lineRule="auto"/>
        <w:rPr>
          <w:rFonts w:eastAsia="Calibri"/>
          <w:b/>
          <w:color w:val="2F5496"/>
          <w:sz w:val="26"/>
          <w:szCs w:val="26"/>
        </w:rPr>
      </w:pPr>
      <w:bookmarkStart w:id="25" w:name="_3dy6vkm" w:colFirst="0" w:colLast="0"/>
      <w:bookmarkEnd w:id="25"/>
      <w:r w:rsidRPr="00FF365E">
        <w:rPr>
          <w:rFonts w:eastAsia="Calibri"/>
          <w:b/>
          <w:color w:val="2F5496"/>
          <w:sz w:val="26"/>
          <w:szCs w:val="26"/>
        </w:rPr>
        <w:t>Probenahme und Analytik</w:t>
      </w:r>
    </w:p>
    <w:p w14:paraId="3071F70B" w14:textId="77777777" w:rsidR="0047123B" w:rsidRPr="00FF365E" w:rsidRDefault="0047123B" w:rsidP="0047123B">
      <w:pPr>
        <w:spacing w:line="240" w:lineRule="auto"/>
        <w:rPr>
          <w:sz w:val="24"/>
          <w:szCs w:val="24"/>
        </w:rPr>
      </w:pPr>
    </w:p>
    <w:p w14:paraId="1F1F215D" w14:textId="77777777" w:rsidR="0047123B" w:rsidRPr="00FF365E" w:rsidRDefault="0047123B" w:rsidP="0047123B">
      <w:pPr>
        <w:shd w:val="clear" w:color="auto" w:fill="FFFFFF"/>
        <w:spacing w:line="240" w:lineRule="auto"/>
        <w:rPr>
          <w:sz w:val="24"/>
          <w:szCs w:val="24"/>
        </w:rPr>
      </w:pPr>
      <w:r w:rsidRPr="00FF365E">
        <w:rPr>
          <w:sz w:val="24"/>
          <w:szCs w:val="24"/>
        </w:rPr>
        <w:t xml:space="preserve">Die Untersuchung soll die vorhandenen Bauschadstoffe der vom Umbau betroffenen Materialien möglichst vollständig erfassen. Bei den untersuchten Materialien handelt es sich um Fliesenkleber, Verputze, Kleber, Leime, Brand- sowie Leichtbauplatten. Es wurden gezielt Proben von verdächtigen Materialien gemäss Vorgaben von Analysis Lab SA und FACH entnommen, verpackt und versendet. </w:t>
      </w:r>
    </w:p>
    <w:p w14:paraId="084FA163" w14:textId="77777777" w:rsidR="0047123B" w:rsidRPr="00FF365E" w:rsidRDefault="0047123B" w:rsidP="0047123B">
      <w:pPr>
        <w:shd w:val="clear" w:color="auto" w:fill="FFFFFF"/>
        <w:spacing w:line="240" w:lineRule="auto"/>
        <w:rPr>
          <w:sz w:val="24"/>
          <w:szCs w:val="24"/>
        </w:rPr>
      </w:pPr>
      <w:r w:rsidRPr="00FF365E">
        <w:rPr>
          <w:sz w:val="24"/>
          <w:szCs w:val="24"/>
        </w:rPr>
        <w:br/>
      </w:r>
    </w:p>
    <w:p w14:paraId="71EF1A12" w14:textId="77777777" w:rsidR="0047123B" w:rsidRPr="00FF365E" w:rsidRDefault="0047123B" w:rsidP="0047123B">
      <w:pPr>
        <w:pStyle w:val="berschrift2"/>
        <w:numPr>
          <w:ilvl w:val="1"/>
          <w:numId w:val="5"/>
        </w:numPr>
        <w:spacing w:before="40" w:after="0" w:line="240" w:lineRule="auto"/>
        <w:rPr>
          <w:rFonts w:eastAsia="Calibri"/>
          <w:b/>
          <w:color w:val="2F5496"/>
          <w:sz w:val="26"/>
          <w:szCs w:val="26"/>
        </w:rPr>
      </w:pPr>
      <w:bookmarkStart w:id="26" w:name="_1t3h5sf" w:colFirst="0" w:colLast="0"/>
      <w:bookmarkEnd w:id="26"/>
      <w:r w:rsidRPr="00FF365E">
        <w:rPr>
          <w:rFonts w:eastAsia="Calibri"/>
          <w:b/>
          <w:color w:val="2F5496"/>
          <w:sz w:val="26"/>
          <w:szCs w:val="26"/>
        </w:rPr>
        <w:t>Abgrenzung der Untersuchung</w:t>
      </w:r>
    </w:p>
    <w:p w14:paraId="7CC80CD6" w14:textId="77777777" w:rsidR="0047123B" w:rsidRPr="00FF365E" w:rsidRDefault="0047123B" w:rsidP="0047123B">
      <w:pPr>
        <w:spacing w:line="240" w:lineRule="auto"/>
        <w:ind w:right="-122"/>
        <w:rPr>
          <w:sz w:val="24"/>
          <w:szCs w:val="24"/>
        </w:rPr>
      </w:pPr>
    </w:p>
    <w:p w14:paraId="2C813D98" w14:textId="77777777" w:rsidR="00503D42" w:rsidRPr="00503D42" w:rsidRDefault="00503D42" w:rsidP="00503D42">
      <w:pPr>
        <w:spacing w:line="240" w:lineRule="auto"/>
        <w:rPr>
          <w:sz w:val="24"/>
          <w:szCs w:val="24"/>
          <w:lang w:val="de-CH"/>
        </w:rPr>
      </w:pPr>
      <w:r w:rsidRPr="00503D42">
        <w:rPr>
          <w:sz w:val="24"/>
          <w:szCs w:val="24"/>
          <w:lang w:val="de-CH"/>
        </w:rPr>
        <w:t>Die Schadstoffabklärung beruhte auf einer visuellen Begutachtung, vor allem der</w:t>
      </w:r>
    </w:p>
    <w:p w14:paraId="7524B11B" w14:textId="77777777" w:rsidR="00503D42" w:rsidRPr="00503D42" w:rsidRDefault="00503D42" w:rsidP="00503D42">
      <w:pPr>
        <w:spacing w:line="240" w:lineRule="auto"/>
        <w:rPr>
          <w:sz w:val="24"/>
          <w:szCs w:val="24"/>
          <w:lang w:val="de-CH"/>
        </w:rPr>
      </w:pPr>
      <w:r w:rsidRPr="00503D42">
        <w:rPr>
          <w:sz w:val="24"/>
          <w:szCs w:val="24"/>
          <w:lang w:val="de-CH"/>
        </w:rPr>
        <w:t>Oberflächen, und beschränkte sich auf immobile Bauteile. Hierbei wurden kleinere,</w:t>
      </w:r>
    </w:p>
    <w:p w14:paraId="1BAB3E30" w14:textId="77777777" w:rsidR="00503D42" w:rsidRPr="00503D42" w:rsidRDefault="00503D42" w:rsidP="00503D42">
      <w:pPr>
        <w:spacing w:line="240" w:lineRule="auto"/>
        <w:rPr>
          <w:sz w:val="24"/>
          <w:szCs w:val="24"/>
          <w:lang w:val="de-CH"/>
        </w:rPr>
      </w:pPr>
      <w:r w:rsidRPr="00503D42">
        <w:rPr>
          <w:sz w:val="24"/>
          <w:szCs w:val="24"/>
          <w:lang w:val="de-CH"/>
        </w:rPr>
        <w:t>leicht zu entfernende Bauteile wie Deckenpaneele oder ähnliches demontiert. Nicht</w:t>
      </w:r>
    </w:p>
    <w:p w14:paraId="137D8823" w14:textId="77777777" w:rsidR="00503D42" w:rsidRPr="00503D42" w:rsidRDefault="00503D42" w:rsidP="00503D42">
      <w:pPr>
        <w:spacing w:line="240" w:lineRule="auto"/>
        <w:rPr>
          <w:sz w:val="24"/>
          <w:szCs w:val="24"/>
          <w:lang w:val="de-CH"/>
        </w:rPr>
      </w:pPr>
      <w:r w:rsidRPr="00503D42">
        <w:rPr>
          <w:sz w:val="24"/>
          <w:szCs w:val="24"/>
          <w:lang w:val="de-CH"/>
        </w:rPr>
        <w:t>durchgeführt wurden zerstörende Sondierungen im Bereich von verdeckten</w:t>
      </w:r>
    </w:p>
    <w:p w14:paraId="51DC723E" w14:textId="77777777" w:rsidR="00503D42" w:rsidRPr="00503D42" w:rsidRDefault="00503D42" w:rsidP="00503D42">
      <w:pPr>
        <w:spacing w:line="240" w:lineRule="auto"/>
        <w:rPr>
          <w:sz w:val="24"/>
          <w:szCs w:val="24"/>
          <w:lang w:val="de-CH"/>
        </w:rPr>
      </w:pPr>
      <w:r w:rsidRPr="00503D42">
        <w:rPr>
          <w:sz w:val="24"/>
          <w:szCs w:val="24"/>
          <w:lang w:val="de-CH"/>
        </w:rPr>
        <w:t>Installationen wie Vormauerungen, Schachtabmauerungen, Lüftungskanälen,</w:t>
      </w:r>
    </w:p>
    <w:p w14:paraId="111791F6" w14:textId="77777777" w:rsidR="00503D42" w:rsidRPr="00503D42" w:rsidRDefault="00503D42" w:rsidP="00503D42">
      <w:pPr>
        <w:spacing w:line="240" w:lineRule="auto"/>
        <w:rPr>
          <w:sz w:val="24"/>
          <w:szCs w:val="24"/>
          <w:lang w:val="de-CH"/>
        </w:rPr>
      </w:pPr>
      <w:r w:rsidRPr="00503D42">
        <w:rPr>
          <w:sz w:val="24"/>
          <w:szCs w:val="24"/>
          <w:lang w:val="de-CH"/>
        </w:rPr>
        <w:t>geschlossenen Installationszonen, sowie Fussboden- und Fassadenaufbauten.</w:t>
      </w:r>
    </w:p>
    <w:p w14:paraId="50475140" w14:textId="77777777" w:rsidR="00503D42" w:rsidRPr="00503D42" w:rsidRDefault="00503D42" w:rsidP="00503D42">
      <w:pPr>
        <w:spacing w:line="240" w:lineRule="auto"/>
        <w:rPr>
          <w:sz w:val="24"/>
          <w:szCs w:val="24"/>
          <w:lang w:val="de-CH"/>
        </w:rPr>
      </w:pPr>
      <w:r w:rsidRPr="00503D42">
        <w:rPr>
          <w:sz w:val="24"/>
          <w:szCs w:val="24"/>
          <w:lang w:val="de-CH"/>
        </w:rPr>
        <w:t>Allfällige Verdachtsmomente sind im Bericht soweit möglich aufgeführt. Wir</w:t>
      </w:r>
    </w:p>
    <w:p w14:paraId="5B04D7A5" w14:textId="77777777" w:rsidR="00503D42" w:rsidRPr="00503D42" w:rsidRDefault="00503D42" w:rsidP="00503D42">
      <w:pPr>
        <w:spacing w:line="240" w:lineRule="auto"/>
        <w:rPr>
          <w:sz w:val="24"/>
          <w:szCs w:val="24"/>
          <w:lang w:val="de-CH"/>
        </w:rPr>
      </w:pPr>
      <w:r w:rsidRPr="00503D42">
        <w:rPr>
          <w:sz w:val="24"/>
          <w:szCs w:val="24"/>
          <w:lang w:val="de-CH"/>
        </w:rPr>
        <w:t>empfehlen, diese Bereiche vor Baubeginn noch genauer zu untersuchen.</w:t>
      </w:r>
    </w:p>
    <w:p w14:paraId="63D1B526" w14:textId="77777777" w:rsidR="00503D42" w:rsidRPr="00503D42" w:rsidRDefault="00503D42" w:rsidP="00503D42">
      <w:pPr>
        <w:spacing w:line="240" w:lineRule="auto"/>
        <w:rPr>
          <w:sz w:val="24"/>
          <w:szCs w:val="24"/>
          <w:lang w:val="de-CH"/>
        </w:rPr>
      </w:pPr>
      <w:r w:rsidRPr="00503D42">
        <w:rPr>
          <w:sz w:val="24"/>
          <w:szCs w:val="24"/>
          <w:lang w:val="de-CH"/>
        </w:rPr>
        <w:t>Andernfalls sind die Arbeiten bei Verdacht auf asbesthaltige Baumaterialien</w:t>
      </w:r>
    </w:p>
    <w:p w14:paraId="7F1F5555" w14:textId="77777777" w:rsidR="00503D42" w:rsidRPr="00503D42" w:rsidRDefault="00503D42" w:rsidP="00503D42">
      <w:pPr>
        <w:spacing w:line="240" w:lineRule="auto"/>
        <w:rPr>
          <w:sz w:val="24"/>
          <w:szCs w:val="24"/>
          <w:lang w:val="de-CH"/>
        </w:rPr>
      </w:pPr>
      <w:r w:rsidRPr="00503D42">
        <w:rPr>
          <w:sz w:val="24"/>
          <w:szCs w:val="24"/>
          <w:lang w:val="de-CH"/>
        </w:rPr>
        <w:t>einzustellen und eine Beurteilung der Situation – allenfalls unter Einbezug eines</w:t>
      </w:r>
    </w:p>
    <w:p w14:paraId="7019989C" w14:textId="77777777" w:rsidR="00503D42" w:rsidRPr="00503D42" w:rsidRDefault="00503D42" w:rsidP="00503D42">
      <w:pPr>
        <w:spacing w:line="240" w:lineRule="auto"/>
        <w:rPr>
          <w:sz w:val="24"/>
          <w:szCs w:val="24"/>
          <w:lang w:val="de-CH"/>
        </w:rPr>
      </w:pPr>
      <w:r w:rsidRPr="00503D42">
        <w:rPr>
          <w:sz w:val="24"/>
          <w:szCs w:val="24"/>
          <w:lang w:val="de-CH"/>
        </w:rPr>
        <w:t>Schadstoffexperten – durchzuführen.</w:t>
      </w:r>
    </w:p>
    <w:p w14:paraId="210086E5" w14:textId="77777777" w:rsidR="00503D42" w:rsidRPr="00503D42" w:rsidRDefault="00503D42" w:rsidP="00503D42">
      <w:pPr>
        <w:spacing w:line="240" w:lineRule="auto"/>
        <w:rPr>
          <w:sz w:val="24"/>
          <w:szCs w:val="24"/>
          <w:lang w:val="de-DE"/>
        </w:rPr>
      </w:pPr>
    </w:p>
    <w:p w14:paraId="2C43BA29" w14:textId="40B90294" w:rsidR="00503D42" w:rsidRDefault="00503D42" w:rsidP="00503D42">
      <w:pPr>
        <w:spacing w:line="240" w:lineRule="auto"/>
        <w:rPr>
          <w:sz w:val="24"/>
          <w:szCs w:val="24"/>
          <w:lang w:val="de-DE"/>
        </w:rPr>
      </w:pPr>
      <w:r w:rsidRPr="00503D42">
        <w:rPr>
          <w:sz w:val="24"/>
          <w:szCs w:val="24"/>
          <w:lang w:val="de-DE"/>
        </w:rPr>
        <w:t>Die Untersuchung bezieht sich auf die Bauschadstoffe Asbest, PCB, CP, PAK, Schwermetalle, FCKW und Holzschutzmittel. Weitere allfällig vorhandene Schadstoffe wie Radon, Schimmelpilze, Formaldehyd, etc. waren nicht Gegenstand der Untersuchung.</w:t>
      </w:r>
    </w:p>
    <w:p w14:paraId="14A4CF78" w14:textId="77777777" w:rsidR="00503D42" w:rsidRDefault="00503D42">
      <w:pPr>
        <w:rPr>
          <w:sz w:val="24"/>
          <w:szCs w:val="24"/>
          <w:lang w:val="de-DE"/>
        </w:rPr>
      </w:pPr>
      <w:r>
        <w:rPr>
          <w:sz w:val="24"/>
          <w:szCs w:val="24"/>
          <w:lang w:val="de-DE"/>
        </w:rPr>
        <w:br w:type="page"/>
      </w:r>
    </w:p>
    <w:p w14:paraId="49FA7134" w14:textId="77777777" w:rsidR="00503D42" w:rsidRPr="00503D42" w:rsidRDefault="00503D42" w:rsidP="00503D42">
      <w:pPr>
        <w:spacing w:line="240" w:lineRule="auto"/>
        <w:rPr>
          <w:sz w:val="24"/>
          <w:szCs w:val="24"/>
          <w:lang w:val="de-DE"/>
        </w:rPr>
      </w:pPr>
      <w:r w:rsidRPr="00503D42">
        <w:rPr>
          <w:sz w:val="24"/>
          <w:szCs w:val="24"/>
          <w:lang w:val="de-DE"/>
        </w:rPr>
        <w:lastRenderedPageBreak/>
        <w:t>Die Wahrscheinlichkeit, dass mit der gewählten Untersuchungsmethode grössere</w:t>
      </w:r>
    </w:p>
    <w:p w14:paraId="2991E0F8" w14:textId="6661FC37" w:rsidR="00503D42" w:rsidRPr="00503D42" w:rsidRDefault="00503D42" w:rsidP="0047123B">
      <w:pPr>
        <w:spacing w:line="240" w:lineRule="auto"/>
        <w:rPr>
          <w:sz w:val="24"/>
          <w:szCs w:val="24"/>
          <w:lang w:val="de-DE"/>
        </w:rPr>
      </w:pPr>
      <w:r w:rsidRPr="00503D42">
        <w:rPr>
          <w:sz w:val="24"/>
          <w:szCs w:val="24"/>
          <w:lang w:val="de-DE"/>
        </w:rPr>
        <w:t>Bauschadstoffvorkommen innerhalb des Untersuchungsperimeters unentdeckt bleiben, wird als eher gering eingestuft. Es verbleibt jedoch eine gewisse Unsicherheit betreffend verdeckt eingebauter sowie nicht zugänglicher Schadstoffe (wie z.B. innerhalb des Rauchabzugs), die bei der visuellen Begutachtung nicht erreicht werden können. Die entnommenen Proben geben Auskunft über die Beschaffenheit bzw. Schadstoffgehalte an den jeweiligen Untersuchungsstellen. Abweichende Resultate an unterschiedlichen Erkundungsstellen desselben Materials können nicht ganz ausgeschlossen werden.</w:t>
      </w:r>
    </w:p>
    <w:p w14:paraId="5A302D9D" w14:textId="77777777" w:rsidR="00503D42" w:rsidRPr="00FF365E" w:rsidRDefault="00503D42" w:rsidP="0047123B">
      <w:pPr>
        <w:spacing w:line="240" w:lineRule="auto"/>
        <w:rPr>
          <w:sz w:val="24"/>
          <w:szCs w:val="24"/>
        </w:rPr>
      </w:pPr>
    </w:p>
    <w:p w14:paraId="40565CD3" w14:textId="7A6B0241" w:rsidR="0047123B" w:rsidRPr="00FF365E" w:rsidRDefault="0047123B" w:rsidP="0047123B">
      <w:pPr>
        <w:pStyle w:val="berschrift1"/>
        <w:numPr>
          <w:ilvl w:val="0"/>
          <w:numId w:val="5"/>
        </w:numPr>
        <w:spacing w:before="240" w:after="0" w:line="240" w:lineRule="auto"/>
        <w:rPr>
          <w:rFonts w:eastAsia="Calibri"/>
          <w:b/>
          <w:color w:val="2F5496"/>
          <w:sz w:val="32"/>
          <w:szCs w:val="32"/>
        </w:rPr>
      </w:pPr>
      <w:r w:rsidRPr="00FF365E">
        <w:rPr>
          <w:rFonts w:eastAsia="Calibri"/>
          <w:b/>
          <w:color w:val="2F5496"/>
          <w:sz w:val="32"/>
          <w:szCs w:val="32"/>
        </w:rPr>
        <w:t>Dringlichkeit von Massnahmen</w:t>
      </w:r>
    </w:p>
    <w:p w14:paraId="4C33D475" w14:textId="77777777" w:rsidR="0047123B" w:rsidRPr="00FF365E" w:rsidRDefault="0047123B" w:rsidP="0047123B">
      <w:pPr>
        <w:shd w:val="clear" w:color="auto" w:fill="FFFFFF"/>
        <w:spacing w:line="240" w:lineRule="auto"/>
        <w:rPr>
          <w:sz w:val="24"/>
          <w:szCs w:val="24"/>
        </w:rPr>
      </w:pPr>
    </w:p>
    <w:p w14:paraId="308D2437" w14:textId="77777777" w:rsidR="00503D42" w:rsidRPr="00503D42" w:rsidRDefault="00503D42" w:rsidP="00503D42">
      <w:pPr>
        <w:shd w:val="clear" w:color="auto" w:fill="FFFFFF"/>
        <w:spacing w:line="240" w:lineRule="auto"/>
        <w:rPr>
          <w:sz w:val="24"/>
          <w:szCs w:val="24"/>
          <w:lang w:val="de-DE"/>
        </w:rPr>
      </w:pPr>
      <w:bookmarkStart w:id="27" w:name="_Hlk212022147"/>
      <w:r w:rsidRPr="00503D42">
        <w:rPr>
          <w:sz w:val="24"/>
          <w:szCs w:val="24"/>
          <w:lang w:val="de-DE"/>
        </w:rPr>
        <w:t>Für alle nachgewiesenen oder visuell als asbesthaltig beurteilten Materialien wird die Sanierungsbedürftigkeit anhand der Forum-Asbest-Publikation "Asbest in Innenräumen, Dringlichkeit von Massnahmen, 2008 (Nr.2891.d)“ festgelegt. Dabei wurde berücksichtigt, dass das Risiko einer Gesundheitsgefährdung durch Asbest davon abhängt, neuwas für eine Art Material vorliegt, wie der Raum genutzt wird und was für nutzungsbedingte Einwirkungen bestehen. Die Dringlichkeit von Massnahmen bei Asbestvorkommen lässt sich in drei Stufen unterteilen.</w:t>
      </w:r>
    </w:p>
    <w:p w14:paraId="31B31CD6" w14:textId="77777777" w:rsidR="00503D42" w:rsidRPr="00503D42" w:rsidRDefault="00503D42" w:rsidP="00503D42">
      <w:pPr>
        <w:shd w:val="clear" w:color="auto" w:fill="FFFFFF"/>
        <w:spacing w:line="240" w:lineRule="auto"/>
        <w:rPr>
          <w:sz w:val="24"/>
          <w:szCs w:val="24"/>
          <w:lang w:val="de-DE"/>
        </w:rPr>
      </w:pPr>
      <w:r w:rsidRPr="00503D42">
        <w:rPr>
          <w:sz w:val="24"/>
          <w:szCs w:val="24"/>
          <w:lang w:val="de-DE"/>
        </w:rPr>
        <w:t>Für die übrig diagnostizierten Bauschadstoffe gibt es keine Einteilung der Dringlichkeitsstufe. Massnahmen sind erst vor baulichen Massnahmen notwendig. Dies entspricht in etwa der Dringlichkeitsstufe III gemäss nachstehenden Erläuterungen, Dringlichkeitsstufen I bis III.</w:t>
      </w:r>
    </w:p>
    <w:p w14:paraId="3F6602D4" w14:textId="77777777" w:rsidR="00503D42" w:rsidRPr="00503D42" w:rsidRDefault="00503D42" w:rsidP="00503D42">
      <w:pPr>
        <w:shd w:val="clear" w:color="auto" w:fill="FFFFFF"/>
        <w:spacing w:line="240" w:lineRule="auto"/>
        <w:rPr>
          <w:sz w:val="24"/>
          <w:szCs w:val="24"/>
          <w:lang w:val="de-DE"/>
        </w:rPr>
      </w:pPr>
      <w:r w:rsidRPr="00503D42">
        <w:rPr>
          <w:sz w:val="24"/>
          <w:szCs w:val="24"/>
          <w:lang w:val="de-CH"/>
        </w:rPr>
        <w:t>Die Festlegung der Sanierungsbedürftigkeit des Materials erfolgt in drei Schritten:</w:t>
      </w:r>
      <w:bookmarkEnd w:id="27"/>
    </w:p>
    <w:p w14:paraId="3B697534" w14:textId="77777777" w:rsidR="0047123B" w:rsidRPr="00503D42" w:rsidRDefault="0047123B" w:rsidP="0047123B">
      <w:pPr>
        <w:shd w:val="clear" w:color="auto" w:fill="FFFFFF"/>
        <w:spacing w:line="240" w:lineRule="auto"/>
        <w:rPr>
          <w:sz w:val="24"/>
          <w:szCs w:val="24"/>
          <w:lang w:val="de-DE"/>
        </w:rPr>
      </w:pPr>
    </w:p>
    <w:p w14:paraId="57C216BE"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Asbestfreisetzungspotential </w:t>
      </w:r>
    </w:p>
    <w:p w14:paraId="4BEF6278" w14:textId="77777777" w:rsidR="0047123B" w:rsidRPr="00FF365E" w:rsidRDefault="0047123B" w:rsidP="0047123B">
      <w:pPr>
        <w:shd w:val="clear" w:color="auto" w:fill="FFFFFF"/>
        <w:spacing w:line="240" w:lineRule="auto"/>
        <w:rPr>
          <w:sz w:val="24"/>
          <w:szCs w:val="24"/>
        </w:rPr>
      </w:pPr>
      <w:r w:rsidRPr="00FF365E">
        <w:rPr>
          <w:sz w:val="24"/>
          <w:szCs w:val="24"/>
        </w:rPr>
        <w:t xml:space="preserve">In einem ersten Schritt wird das Material hinsichtlich seines Asbestfreisetzungspotentials beurteilt. Dieses ist abhängig von der Asbestfaserbindung, vom Oberflächenzustand des Materials und von den auf das Material einwirkenden äusseren Bedingungen. </w:t>
      </w:r>
    </w:p>
    <w:p w14:paraId="39A18191" w14:textId="77777777" w:rsidR="0047123B" w:rsidRPr="00FF365E" w:rsidRDefault="0047123B" w:rsidP="0047123B">
      <w:pPr>
        <w:shd w:val="clear" w:color="auto" w:fill="FFFFFF"/>
        <w:spacing w:line="240" w:lineRule="auto"/>
        <w:rPr>
          <w:sz w:val="24"/>
          <w:szCs w:val="24"/>
        </w:rPr>
      </w:pPr>
    </w:p>
    <w:p w14:paraId="03F467B4"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Raumnutzung und Exposition </w:t>
      </w:r>
    </w:p>
    <w:p w14:paraId="523B1791" w14:textId="77777777" w:rsidR="0047123B" w:rsidRPr="00FF365E" w:rsidRDefault="0047123B" w:rsidP="0047123B">
      <w:pPr>
        <w:shd w:val="clear" w:color="auto" w:fill="FFFFFF"/>
        <w:spacing w:line="240" w:lineRule="auto"/>
        <w:rPr>
          <w:sz w:val="24"/>
          <w:szCs w:val="24"/>
        </w:rPr>
      </w:pPr>
      <w:r w:rsidRPr="00FF365E">
        <w:rPr>
          <w:sz w:val="24"/>
          <w:szCs w:val="24"/>
        </w:rPr>
        <w:t>In einem zweiten Schritt wird mit der Art der Raumnutzung das Expositionsrisiko beurteilt. Berücksichtigt werden dabei die Nutzer, die Art und die Häufigkeit der Nutzung sowie die Lage der asbesthaltigen Materialien (Zugänglichkeit).</w:t>
      </w:r>
    </w:p>
    <w:p w14:paraId="4003F1D7" w14:textId="77777777" w:rsidR="0047123B" w:rsidRPr="00FF365E" w:rsidRDefault="0047123B" w:rsidP="0047123B">
      <w:pPr>
        <w:shd w:val="clear" w:color="auto" w:fill="FFFFFF"/>
        <w:spacing w:line="240" w:lineRule="auto"/>
        <w:rPr>
          <w:sz w:val="24"/>
          <w:szCs w:val="24"/>
        </w:rPr>
      </w:pPr>
    </w:p>
    <w:p w14:paraId="7261889D"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Beurteilung der Massnahmendringlichkeit </w:t>
      </w:r>
    </w:p>
    <w:p w14:paraId="22C2E221" w14:textId="77777777" w:rsidR="0047123B" w:rsidRPr="00FF365E" w:rsidRDefault="0047123B" w:rsidP="0047123B">
      <w:pPr>
        <w:shd w:val="clear" w:color="auto" w:fill="FFFFFF"/>
        <w:spacing w:line="240" w:lineRule="auto"/>
        <w:rPr>
          <w:sz w:val="24"/>
          <w:szCs w:val="24"/>
        </w:rPr>
      </w:pPr>
      <w:r w:rsidRPr="00FF365E">
        <w:rPr>
          <w:sz w:val="24"/>
          <w:szCs w:val="24"/>
        </w:rPr>
        <w:t xml:space="preserve">Mithilfe der Bewertungen zum Asbestfreisetzungspotential und zur Raumnutzung wird die Dringlichkeit von Massnahmen in drei Dringlichkeitsstufen beurteilt. </w:t>
      </w:r>
    </w:p>
    <w:p w14:paraId="2969BF77" w14:textId="77777777" w:rsidR="0047123B" w:rsidRPr="00FF365E" w:rsidRDefault="0047123B" w:rsidP="0047123B">
      <w:pPr>
        <w:shd w:val="clear" w:color="auto" w:fill="FFFFFF"/>
        <w:spacing w:line="240" w:lineRule="auto"/>
        <w:rPr>
          <w:b/>
          <w:sz w:val="24"/>
          <w:szCs w:val="24"/>
        </w:rPr>
      </w:pPr>
    </w:p>
    <w:p w14:paraId="58E309E7"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 </w:t>
      </w:r>
      <w:r w:rsidRPr="00FF365E">
        <w:rPr>
          <w:sz w:val="24"/>
          <w:szCs w:val="24"/>
        </w:rPr>
        <w:t xml:space="preserve">Umgehende Veranlassung von Sanierungsarbeiten oder von Sofortmassnahmen. </w:t>
      </w:r>
    </w:p>
    <w:p w14:paraId="18FFBC4F" w14:textId="77777777" w:rsidR="0047123B" w:rsidRPr="00FF365E" w:rsidRDefault="0047123B" w:rsidP="0047123B">
      <w:pPr>
        <w:shd w:val="clear" w:color="auto" w:fill="FFFFFF"/>
        <w:spacing w:line="240" w:lineRule="auto"/>
        <w:rPr>
          <w:b/>
          <w:sz w:val="24"/>
          <w:szCs w:val="24"/>
        </w:rPr>
      </w:pPr>
    </w:p>
    <w:p w14:paraId="25E7F0ED"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 </w:t>
      </w:r>
      <w:r w:rsidRPr="00FF365E">
        <w:rPr>
          <w:sz w:val="24"/>
          <w:szCs w:val="24"/>
        </w:rPr>
        <w:t xml:space="preserve">Neubeurteilung periodisch (alle 2 bis 5 Jahre) oder Sanierung vor baulichen Eingriffen und Nutzungsänderungen. </w:t>
      </w:r>
    </w:p>
    <w:p w14:paraId="4E127FDA" w14:textId="77777777" w:rsidR="0047123B" w:rsidRPr="00FF365E" w:rsidRDefault="0047123B" w:rsidP="0047123B">
      <w:pPr>
        <w:shd w:val="clear" w:color="auto" w:fill="FFFFFF"/>
        <w:spacing w:line="240" w:lineRule="auto"/>
        <w:rPr>
          <w:b/>
          <w:sz w:val="24"/>
          <w:szCs w:val="24"/>
        </w:rPr>
      </w:pPr>
    </w:p>
    <w:p w14:paraId="36BF9A2C" w14:textId="53FDA125" w:rsidR="00503D42" w:rsidRDefault="0047123B" w:rsidP="0047123B">
      <w:pPr>
        <w:shd w:val="clear" w:color="auto" w:fill="FFFFFF"/>
        <w:spacing w:line="240" w:lineRule="auto"/>
        <w:rPr>
          <w:sz w:val="24"/>
          <w:szCs w:val="24"/>
        </w:rPr>
      </w:pPr>
      <w:r w:rsidRPr="00FF365E">
        <w:rPr>
          <w:b/>
          <w:sz w:val="24"/>
          <w:szCs w:val="24"/>
        </w:rPr>
        <w:t xml:space="preserve">Dringlichkeitsstufe III: </w:t>
      </w:r>
      <w:r w:rsidRPr="00FF365E">
        <w:rPr>
          <w:sz w:val="24"/>
          <w:szCs w:val="24"/>
        </w:rPr>
        <w:t>Sanierung vor baulichen Eingriffen und Nutzungsänderungen oder beim Rückbau.</w:t>
      </w:r>
    </w:p>
    <w:p w14:paraId="6F8A6ADD" w14:textId="77777777" w:rsidR="0047123B" w:rsidRPr="00FF365E" w:rsidRDefault="0047123B" w:rsidP="0047123B">
      <w:pPr>
        <w:pStyle w:val="berschrift1"/>
        <w:numPr>
          <w:ilvl w:val="0"/>
          <w:numId w:val="5"/>
        </w:numPr>
        <w:spacing w:before="240" w:after="0" w:line="240" w:lineRule="auto"/>
        <w:rPr>
          <w:rFonts w:eastAsia="Calibri"/>
          <w:b/>
          <w:color w:val="2F5496"/>
          <w:sz w:val="32"/>
          <w:szCs w:val="32"/>
        </w:rPr>
      </w:pPr>
      <w:bookmarkStart w:id="28" w:name="_e3xy3cve4spy" w:colFirst="0" w:colLast="0"/>
      <w:bookmarkEnd w:id="28"/>
      <w:r w:rsidRPr="00FF365E">
        <w:rPr>
          <w:rFonts w:eastAsia="Calibri"/>
          <w:b/>
          <w:color w:val="2F5496"/>
          <w:sz w:val="32"/>
          <w:szCs w:val="32"/>
        </w:rPr>
        <w:lastRenderedPageBreak/>
        <w:t>Zusammenfassung der Schadstoffvorkommen</w:t>
      </w:r>
      <w:r w:rsidRPr="00FF365E">
        <w:rPr>
          <w:rFonts w:eastAsia="Calibri"/>
          <w:sz w:val="24"/>
          <w:szCs w:val="24"/>
        </w:rPr>
        <w:br/>
        <w:t xml:space="preserve">Die folgenden Abkürzungen werden in der nachfolgendenden Tabelle(n) verwendet. </w:t>
      </w:r>
    </w:p>
    <w:p w14:paraId="2C329B2B" w14:textId="77777777" w:rsidR="0047123B" w:rsidRPr="00FF365E" w:rsidRDefault="0047123B" w:rsidP="0047123B">
      <w:pPr>
        <w:spacing w:line="240" w:lineRule="auto"/>
        <w:rPr>
          <w:rFonts w:eastAsia="Calibri"/>
          <w:sz w:val="24"/>
          <w:szCs w:val="24"/>
        </w:rPr>
      </w:pPr>
    </w:p>
    <w:tbl>
      <w:tblPr>
        <w:tblW w:w="10774" w:type="dxa"/>
        <w:tblInd w:w="-714" w:type="dxa"/>
        <w:tblBorders>
          <w:top w:val="nil"/>
          <w:left w:val="nil"/>
          <w:bottom w:val="nil"/>
          <w:right w:val="nil"/>
          <w:insideH w:val="nil"/>
          <w:insideV w:val="nil"/>
        </w:tblBorders>
        <w:tblLayout w:type="fixed"/>
        <w:tblLook w:val="0400" w:firstRow="0" w:lastRow="0" w:firstColumn="0" w:lastColumn="0" w:noHBand="0" w:noVBand="1"/>
      </w:tblPr>
      <w:tblGrid>
        <w:gridCol w:w="2269"/>
        <w:gridCol w:w="283"/>
        <w:gridCol w:w="8222"/>
      </w:tblGrid>
      <w:tr w:rsidR="0047123B" w:rsidRPr="00FF365E" w14:paraId="43BFE48D" w14:textId="77777777">
        <w:tc>
          <w:tcPr>
            <w:tcW w:w="2269" w:type="dxa"/>
          </w:tcPr>
          <w:p w14:paraId="2C779644" w14:textId="77777777" w:rsidR="0047123B" w:rsidRPr="00FF365E" w:rsidRDefault="0047123B">
            <w:pPr>
              <w:spacing w:line="240" w:lineRule="auto"/>
              <w:jc w:val="right"/>
              <w:rPr>
                <w:rFonts w:eastAsia="Calibri"/>
                <w:sz w:val="24"/>
                <w:szCs w:val="24"/>
              </w:rPr>
            </w:pPr>
            <w:r w:rsidRPr="00FF365E">
              <w:rPr>
                <w:rFonts w:eastAsia="Calibri"/>
                <w:sz w:val="24"/>
                <w:szCs w:val="24"/>
              </w:rPr>
              <w:t>Map</w:t>
            </w:r>
          </w:p>
        </w:tc>
        <w:tc>
          <w:tcPr>
            <w:tcW w:w="283" w:type="dxa"/>
          </w:tcPr>
          <w:p w14:paraId="02CC79C9" w14:textId="77777777" w:rsidR="0047123B" w:rsidRPr="00FF365E" w:rsidRDefault="0047123B">
            <w:pPr>
              <w:spacing w:line="240" w:lineRule="auto"/>
              <w:rPr>
                <w:rFonts w:eastAsia="Calibri"/>
                <w:sz w:val="24"/>
                <w:szCs w:val="24"/>
              </w:rPr>
            </w:pPr>
          </w:p>
        </w:tc>
        <w:tc>
          <w:tcPr>
            <w:tcW w:w="8222" w:type="dxa"/>
          </w:tcPr>
          <w:p w14:paraId="7968C7A4" w14:textId="77777777" w:rsidR="0047123B" w:rsidRPr="00FF365E" w:rsidRDefault="0047123B">
            <w:pPr>
              <w:spacing w:line="240" w:lineRule="auto"/>
              <w:rPr>
                <w:rFonts w:eastAsia="Calibri"/>
                <w:sz w:val="24"/>
                <w:szCs w:val="24"/>
              </w:rPr>
            </w:pPr>
            <w:r w:rsidRPr="00FF365E">
              <w:rPr>
                <w:rFonts w:eastAsia="Calibri"/>
                <w:sz w:val="24"/>
                <w:szCs w:val="24"/>
              </w:rPr>
              <w:t>Materialprobe</w:t>
            </w:r>
          </w:p>
        </w:tc>
      </w:tr>
      <w:tr w:rsidR="0047123B" w:rsidRPr="00FF365E" w14:paraId="15CCEDEC" w14:textId="77777777">
        <w:tc>
          <w:tcPr>
            <w:tcW w:w="2269" w:type="dxa"/>
          </w:tcPr>
          <w:p w14:paraId="33AFDD73" w14:textId="77777777" w:rsidR="0047123B" w:rsidRPr="00FF365E" w:rsidRDefault="0047123B">
            <w:pPr>
              <w:spacing w:line="240" w:lineRule="auto"/>
              <w:jc w:val="right"/>
              <w:rPr>
                <w:rFonts w:eastAsia="Calibri"/>
                <w:sz w:val="24"/>
                <w:szCs w:val="24"/>
              </w:rPr>
            </w:pPr>
            <w:r w:rsidRPr="00FF365E">
              <w:rPr>
                <w:rFonts w:eastAsia="Calibri"/>
                <w:sz w:val="24"/>
                <w:szCs w:val="24"/>
              </w:rPr>
              <w:t>VB</w:t>
            </w:r>
          </w:p>
        </w:tc>
        <w:tc>
          <w:tcPr>
            <w:tcW w:w="283" w:type="dxa"/>
          </w:tcPr>
          <w:p w14:paraId="7CCF51A6" w14:textId="77777777" w:rsidR="0047123B" w:rsidRPr="00FF365E" w:rsidRDefault="0047123B">
            <w:pPr>
              <w:spacing w:line="240" w:lineRule="auto"/>
              <w:rPr>
                <w:rFonts w:eastAsia="Calibri"/>
                <w:sz w:val="24"/>
                <w:szCs w:val="24"/>
              </w:rPr>
            </w:pPr>
          </w:p>
        </w:tc>
        <w:tc>
          <w:tcPr>
            <w:tcW w:w="8222" w:type="dxa"/>
          </w:tcPr>
          <w:p w14:paraId="387C5B72" w14:textId="77777777" w:rsidR="0047123B" w:rsidRPr="00FF365E" w:rsidRDefault="0047123B">
            <w:pPr>
              <w:spacing w:line="240" w:lineRule="auto"/>
              <w:rPr>
                <w:rFonts w:eastAsia="Calibri"/>
                <w:sz w:val="24"/>
                <w:szCs w:val="24"/>
              </w:rPr>
            </w:pPr>
            <w:r w:rsidRPr="00FF365E">
              <w:rPr>
                <w:rFonts w:eastAsia="Calibri"/>
                <w:sz w:val="24"/>
                <w:szCs w:val="24"/>
              </w:rPr>
              <w:t>Visueller Befund</w:t>
            </w:r>
          </w:p>
        </w:tc>
      </w:tr>
      <w:tr w:rsidR="0047123B" w:rsidRPr="00FF365E" w14:paraId="42A78232" w14:textId="77777777">
        <w:tc>
          <w:tcPr>
            <w:tcW w:w="2269" w:type="dxa"/>
          </w:tcPr>
          <w:p w14:paraId="71D0317A" w14:textId="77777777" w:rsidR="0047123B" w:rsidRPr="00FF365E" w:rsidRDefault="0047123B">
            <w:pPr>
              <w:spacing w:line="240" w:lineRule="auto"/>
              <w:jc w:val="right"/>
              <w:rPr>
                <w:rFonts w:eastAsia="Calibri"/>
                <w:sz w:val="24"/>
                <w:szCs w:val="24"/>
              </w:rPr>
            </w:pPr>
            <w:r w:rsidRPr="00FF365E">
              <w:rPr>
                <w:rFonts w:eastAsia="Calibri"/>
                <w:sz w:val="24"/>
                <w:szCs w:val="24"/>
              </w:rPr>
              <w:t>DKS</w:t>
            </w:r>
          </w:p>
        </w:tc>
        <w:tc>
          <w:tcPr>
            <w:tcW w:w="283" w:type="dxa"/>
          </w:tcPr>
          <w:p w14:paraId="5B06FEBE" w14:textId="77777777" w:rsidR="0047123B" w:rsidRPr="00FF365E" w:rsidRDefault="0047123B">
            <w:pPr>
              <w:spacing w:line="240" w:lineRule="auto"/>
              <w:rPr>
                <w:rFonts w:eastAsia="Calibri"/>
                <w:sz w:val="24"/>
                <w:szCs w:val="24"/>
              </w:rPr>
            </w:pPr>
          </w:p>
        </w:tc>
        <w:tc>
          <w:tcPr>
            <w:tcW w:w="8222" w:type="dxa"/>
          </w:tcPr>
          <w:p w14:paraId="3667AEBE" w14:textId="77777777" w:rsidR="0047123B" w:rsidRPr="00FF365E" w:rsidRDefault="0047123B">
            <w:pPr>
              <w:spacing w:line="240" w:lineRule="auto"/>
              <w:rPr>
                <w:rFonts w:eastAsia="Calibri"/>
                <w:sz w:val="24"/>
                <w:szCs w:val="24"/>
              </w:rPr>
            </w:pPr>
            <w:r w:rsidRPr="00FF365E">
              <w:rPr>
                <w:rFonts w:eastAsia="Calibri"/>
                <w:sz w:val="24"/>
                <w:szCs w:val="24"/>
              </w:rPr>
              <w:t>Dringlichkeitsstufe (Asbest)</w:t>
            </w:r>
          </w:p>
        </w:tc>
      </w:tr>
      <w:tr w:rsidR="0047123B" w:rsidRPr="00FF365E" w14:paraId="6761165B" w14:textId="77777777">
        <w:tc>
          <w:tcPr>
            <w:tcW w:w="2269" w:type="dxa"/>
          </w:tcPr>
          <w:p w14:paraId="2F3A8378" w14:textId="77777777" w:rsidR="0047123B" w:rsidRPr="00FF365E" w:rsidRDefault="0047123B">
            <w:pPr>
              <w:spacing w:line="240" w:lineRule="auto"/>
              <w:jc w:val="right"/>
              <w:rPr>
                <w:rFonts w:eastAsia="Calibri"/>
                <w:sz w:val="24"/>
                <w:szCs w:val="24"/>
              </w:rPr>
            </w:pPr>
            <w:r w:rsidRPr="00FF365E">
              <w:rPr>
                <w:rFonts w:eastAsia="Calibri"/>
                <w:sz w:val="24"/>
                <w:szCs w:val="24"/>
              </w:rPr>
              <w:t>Neg.</w:t>
            </w:r>
          </w:p>
        </w:tc>
        <w:tc>
          <w:tcPr>
            <w:tcW w:w="283" w:type="dxa"/>
          </w:tcPr>
          <w:p w14:paraId="72D25B1F" w14:textId="77777777" w:rsidR="0047123B" w:rsidRPr="00FF365E" w:rsidRDefault="0047123B">
            <w:pPr>
              <w:spacing w:line="240" w:lineRule="auto"/>
              <w:rPr>
                <w:rFonts w:eastAsia="Calibri"/>
                <w:sz w:val="24"/>
                <w:szCs w:val="24"/>
              </w:rPr>
            </w:pPr>
          </w:p>
        </w:tc>
        <w:tc>
          <w:tcPr>
            <w:tcW w:w="8222" w:type="dxa"/>
          </w:tcPr>
          <w:p w14:paraId="0AFEADE0" w14:textId="77777777" w:rsidR="0047123B" w:rsidRPr="00FF365E" w:rsidRDefault="0047123B">
            <w:pPr>
              <w:spacing w:line="240" w:lineRule="auto"/>
              <w:rPr>
                <w:rFonts w:eastAsia="Calibri"/>
                <w:sz w:val="24"/>
                <w:szCs w:val="24"/>
              </w:rPr>
            </w:pPr>
            <w:r w:rsidRPr="00FF365E">
              <w:rPr>
                <w:rFonts w:eastAsia="Calibri"/>
                <w:sz w:val="24"/>
                <w:szCs w:val="24"/>
              </w:rPr>
              <w:t>Laboranalyse war negativ (kein Schadstoff)</w:t>
            </w:r>
          </w:p>
        </w:tc>
      </w:tr>
      <w:tr w:rsidR="0047123B" w:rsidRPr="00FF365E" w14:paraId="1B0C42C7" w14:textId="77777777">
        <w:tc>
          <w:tcPr>
            <w:tcW w:w="2269" w:type="dxa"/>
          </w:tcPr>
          <w:p w14:paraId="12A392CE" w14:textId="77777777" w:rsidR="0047123B" w:rsidRPr="00FF365E" w:rsidRDefault="0047123B">
            <w:pPr>
              <w:spacing w:line="240" w:lineRule="auto"/>
              <w:jc w:val="right"/>
              <w:rPr>
                <w:rFonts w:eastAsia="Calibri"/>
                <w:sz w:val="24"/>
                <w:szCs w:val="24"/>
              </w:rPr>
            </w:pPr>
            <w:r w:rsidRPr="00FF365E">
              <w:rPr>
                <w:rFonts w:eastAsia="Calibri"/>
                <w:sz w:val="24"/>
                <w:szCs w:val="24"/>
              </w:rPr>
              <w:t>AFG</w:t>
            </w:r>
          </w:p>
        </w:tc>
        <w:tc>
          <w:tcPr>
            <w:tcW w:w="283" w:type="dxa"/>
          </w:tcPr>
          <w:p w14:paraId="284391F9" w14:textId="77777777" w:rsidR="0047123B" w:rsidRPr="00FF365E" w:rsidRDefault="0047123B">
            <w:pPr>
              <w:spacing w:line="240" w:lineRule="auto"/>
              <w:rPr>
                <w:rFonts w:eastAsia="Calibri"/>
                <w:sz w:val="24"/>
                <w:szCs w:val="24"/>
              </w:rPr>
            </w:pPr>
          </w:p>
        </w:tc>
        <w:tc>
          <w:tcPr>
            <w:tcW w:w="8222" w:type="dxa"/>
          </w:tcPr>
          <w:p w14:paraId="4343CC95" w14:textId="77777777" w:rsidR="0047123B" w:rsidRPr="00FF365E" w:rsidRDefault="0047123B">
            <w:pPr>
              <w:spacing w:line="240" w:lineRule="auto"/>
              <w:rPr>
                <w:rFonts w:eastAsia="Calibri"/>
                <w:sz w:val="24"/>
                <w:szCs w:val="24"/>
              </w:rPr>
            </w:pPr>
            <w:r w:rsidRPr="00FF365E">
              <w:rPr>
                <w:rFonts w:eastAsia="Calibri"/>
                <w:sz w:val="24"/>
                <w:szCs w:val="24"/>
              </w:rPr>
              <w:t>Asbest fest gebunden</w:t>
            </w:r>
          </w:p>
        </w:tc>
      </w:tr>
      <w:tr w:rsidR="0047123B" w:rsidRPr="00FF365E" w14:paraId="25CEB6BF" w14:textId="77777777">
        <w:tc>
          <w:tcPr>
            <w:tcW w:w="2269" w:type="dxa"/>
          </w:tcPr>
          <w:p w14:paraId="406A8D2E" w14:textId="77777777" w:rsidR="0047123B" w:rsidRPr="00FF365E" w:rsidRDefault="0047123B">
            <w:pPr>
              <w:spacing w:line="240" w:lineRule="auto"/>
              <w:jc w:val="right"/>
              <w:rPr>
                <w:rFonts w:eastAsia="Calibri"/>
                <w:sz w:val="24"/>
                <w:szCs w:val="24"/>
              </w:rPr>
            </w:pPr>
            <w:r w:rsidRPr="00FF365E">
              <w:rPr>
                <w:rFonts w:eastAsia="Calibri"/>
                <w:sz w:val="24"/>
                <w:szCs w:val="24"/>
              </w:rPr>
              <w:t>ASG</w:t>
            </w:r>
          </w:p>
        </w:tc>
        <w:tc>
          <w:tcPr>
            <w:tcW w:w="283" w:type="dxa"/>
          </w:tcPr>
          <w:p w14:paraId="52B70317" w14:textId="77777777" w:rsidR="0047123B" w:rsidRPr="00FF365E" w:rsidRDefault="0047123B">
            <w:pPr>
              <w:spacing w:line="240" w:lineRule="auto"/>
              <w:rPr>
                <w:rFonts w:eastAsia="Calibri"/>
                <w:sz w:val="24"/>
                <w:szCs w:val="24"/>
              </w:rPr>
            </w:pPr>
          </w:p>
        </w:tc>
        <w:tc>
          <w:tcPr>
            <w:tcW w:w="8222" w:type="dxa"/>
          </w:tcPr>
          <w:p w14:paraId="51FE59FA" w14:textId="77777777" w:rsidR="0047123B" w:rsidRPr="00FF365E" w:rsidRDefault="0047123B">
            <w:pPr>
              <w:spacing w:line="240" w:lineRule="auto"/>
              <w:rPr>
                <w:rFonts w:eastAsia="Calibri"/>
                <w:sz w:val="24"/>
                <w:szCs w:val="24"/>
              </w:rPr>
            </w:pPr>
            <w:r w:rsidRPr="00FF365E">
              <w:rPr>
                <w:rFonts w:eastAsia="Calibri"/>
                <w:sz w:val="24"/>
                <w:szCs w:val="24"/>
              </w:rPr>
              <w:t>Asbest schwach gebunden</w:t>
            </w:r>
          </w:p>
        </w:tc>
      </w:tr>
      <w:tr w:rsidR="0047123B" w:rsidRPr="00FF365E" w14:paraId="6B905CCD" w14:textId="77777777">
        <w:tc>
          <w:tcPr>
            <w:tcW w:w="2269" w:type="dxa"/>
          </w:tcPr>
          <w:p w14:paraId="06457895" w14:textId="77777777" w:rsidR="0047123B" w:rsidRPr="00FF365E" w:rsidRDefault="0047123B">
            <w:pPr>
              <w:spacing w:line="240" w:lineRule="auto"/>
              <w:jc w:val="right"/>
              <w:rPr>
                <w:rFonts w:eastAsia="Calibri"/>
                <w:sz w:val="24"/>
                <w:szCs w:val="24"/>
              </w:rPr>
            </w:pPr>
            <w:r w:rsidRPr="00FF365E">
              <w:rPr>
                <w:rFonts w:eastAsia="Calibri"/>
                <w:sz w:val="24"/>
                <w:szCs w:val="24"/>
              </w:rPr>
              <w:t>PAK</w:t>
            </w:r>
          </w:p>
        </w:tc>
        <w:tc>
          <w:tcPr>
            <w:tcW w:w="283" w:type="dxa"/>
          </w:tcPr>
          <w:p w14:paraId="322FB2A3" w14:textId="77777777" w:rsidR="0047123B" w:rsidRPr="00FF365E" w:rsidRDefault="0047123B">
            <w:pPr>
              <w:spacing w:line="240" w:lineRule="auto"/>
              <w:rPr>
                <w:rFonts w:eastAsia="Calibri"/>
                <w:sz w:val="24"/>
                <w:szCs w:val="24"/>
              </w:rPr>
            </w:pPr>
          </w:p>
        </w:tc>
        <w:tc>
          <w:tcPr>
            <w:tcW w:w="8222" w:type="dxa"/>
          </w:tcPr>
          <w:p w14:paraId="6AE4EE21" w14:textId="77777777" w:rsidR="0047123B" w:rsidRPr="00FF365E" w:rsidRDefault="0047123B">
            <w:pPr>
              <w:spacing w:line="240" w:lineRule="auto"/>
              <w:rPr>
                <w:rFonts w:eastAsia="Calibri"/>
                <w:sz w:val="24"/>
                <w:szCs w:val="24"/>
              </w:rPr>
            </w:pPr>
            <w:r w:rsidRPr="00FF365E">
              <w:rPr>
                <w:rFonts w:eastAsia="Calibri"/>
                <w:sz w:val="24"/>
                <w:szCs w:val="24"/>
              </w:rPr>
              <w:t>Polyzyklische Aromatische Kohlenwasserstoffe</w:t>
            </w:r>
          </w:p>
        </w:tc>
      </w:tr>
      <w:tr w:rsidR="0047123B" w:rsidRPr="00FF365E" w14:paraId="43D7EFB5" w14:textId="77777777">
        <w:tc>
          <w:tcPr>
            <w:tcW w:w="2269" w:type="dxa"/>
          </w:tcPr>
          <w:p w14:paraId="1C450535" w14:textId="77777777" w:rsidR="0047123B" w:rsidRPr="00FF365E" w:rsidRDefault="0047123B">
            <w:pPr>
              <w:spacing w:line="240" w:lineRule="auto"/>
              <w:jc w:val="right"/>
              <w:rPr>
                <w:rFonts w:eastAsia="Calibri"/>
                <w:sz w:val="24"/>
                <w:szCs w:val="24"/>
              </w:rPr>
            </w:pPr>
            <w:r w:rsidRPr="00FF365E">
              <w:rPr>
                <w:rFonts w:eastAsia="Calibri"/>
                <w:sz w:val="24"/>
                <w:szCs w:val="24"/>
              </w:rPr>
              <w:t>PCB</w:t>
            </w:r>
          </w:p>
        </w:tc>
        <w:tc>
          <w:tcPr>
            <w:tcW w:w="283" w:type="dxa"/>
          </w:tcPr>
          <w:p w14:paraId="1EE588EA" w14:textId="77777777" w:rsidR="0047123B" w:rsidRPr="00FF365E" w:rsidRDefault="0047123B">
            <w:pPr>
              <w:spacing w:line="240" w:lineRule="auto"/>
              <w:rPr>
                <w:rFonts w:eastAsia="Calibri"/>
                <w:sz w:val="24"/>
                <w:szCs w:val="24"/>
              </w:rPr>
            </w:pPr>
          </w:p>
        </w:tc>
        <w:tc>
          <w:tcPr>
            <w:tcW w:w="8222" w:type="dxa"/>
          </w:tcPr>
          <w:p w14:paraId="66C2377F" w14:textId="77777777" w:rsidR="0047123B" w:rsidRPr="00FF365E" w:rsidRDefault="0047123B">
            <w:pPr>
              <w:spacing w:line="240" w:lineRule="auto"/>
              <w:rPr>
                <w:rFonts w:eastAsia="Calibri"/>
                <w:sz w:val="24"/>
                <w:szCs w:val="24"/>
              </w:rPr>
            </w:pPr>
            <w:r w:rsidRPr="00FF365E">
              <w:rPr>
                <w:rFonts w:eastAsia="Calibri"/>
                <w:sz w:val="24"/>
                <w:szCs w:val="24"/>
              </w:rPr>
              <w:t>Polychlorierte Biphenyle</w:t>
            </w:r>
          </w:p>
        </w:tc>
      </w:tr>
      <w:tr w:rsidR="0047123B" w:rsidRPr="00FF365E" w14:paraId="62CA9F0C" w14:textId="77777777">
        <w:tc>
          <w:tcPr>
            <w:tcW w:w="2269" w:type="dxa"/>
          </w:tcPr>
          <w:p w14:paraId="4E13D429" w14:textId="77777777" w:rsidR="0047123B" w:rsidRPr="00FF365E" w:rsidRDefault="0047123B">
            <w:pPr>
              <w:spacing w:line="240" w:lineRule="auto"/>
              <w:jc w:val="right"/>
              <w:rPr>
                <w:rFonts w:eastAsia="Calibri"/>
                <w:sz w:val="24"/>
                <w:szCs w:val="24"/>
              </w:rPr>
            </w:pPr>
            <w:r w:rsidRPr="00FF365E">
              <w:rPr>
                <w:rFonts w:eastAsia="Calibri"/>
                <w:sz w:val="24"/>
                <w:szCs w:val="24"/>
              </w:rPr>
              <w:t>FCKW</w:t>
            </w:r>
          </w:p>
        </w:tc>
        <w:tc>
          <w:tcPr>
            <w:tcW w:w="283" w:type="dxa"/>
          </w:tcPr>
          <w:p w14:paraId="69BF07D4" w14:textId="77777777" w:rsidR="0047123B" w:rsidRPr="00FF365E" w:rsidRDefault="0047123B">
            <w:pPr>
              <w:spacing w:line="240" w:lineRule="auto"/>
              <w:rPr>
                <w:rFonts w:eastAsia="Calibri"/>
                <w:sz w:val="24"/>
                <w:szCs w:val="24"/>
              </w:rPr>
            </w:pPr>
          </w:p>
        </w:tc>
        <w:tc>
          <w:tcPr>
            <w:tcW w:w="8222" w:type="dxa"/>
          </w:tcPr>
          <w:p w14:paraId="609C2F2C" w14:textId="77777777" w:rsidR="0047123B" w:rsidRPr="00FF365E" w:rsidRDefault="0047123B">
            <w:pPr>
              <w:spacing w:line="240" w:lineRule="auto"/>
              <w:rPr>
                <w:rFonts w:eastAsia="Calibri"/>
                <w:sz w:val="24"/>
                <w:szCs w:val="24"/>
              </w:rPr>
            </w:pPr>
            <w:r w:rsidRPr="00FF365E">
              <w:rPr>
                <w:rFonts w:eastAsia="Calibri"/>
                <w:sz w:val="24"/>
                <w:szCs w:val="24"/>
              </w:rPr>
              <w:t>Fluorchlorkohlenwasserstoffe</w:t>
            </w:r>
          </w:p>
        </w:tc>
      </w:tr>
      <w:tr w:rsidR="0047123B" w:rsidRPr="00FF365E" w14:paraId="1EE2171C" w14:textId="77777777">
        <w:tc>
          <w:tcPr>
            <w:tcW w:w="2269" w:type="dxa"/>
          </w:tcPr>
          <w:p w14:paraId="12447710" w14:textId="77777777" w:rsidR="0047123B" w:rsidRPr="00FF365E" w:rsidRDefault="0047123B">
            <w:pPr>
              <w:spacing w:line="240" w:lineRule="auto"/>
              <w:jc w:val="right"/>
              <w:rPr>
                <w:rFonts w:eastAsia="Calibri"/>
                <w:sz w:val="24"/>
                <w:szCs w:val="24"/>
              </w:rPr>
            </w:pPr>
            <w:r w:rsidRPr="00FF365E">
              <w:rPr>
                <w:rFonts w:eastAsia="Calibri"/>
                <w:sz w:val="24"/>
                <w:szCs w:val="24"/>
              </w:rPr>
              <w:t>SM</w:t>
            </w:r>
          </w:p>
        </w:tc>
        <w:tc>
          <w:tcPr>
            <w:tcW w:w="283" w:type="dxa"/>
          </w:tcPr>
          <w:p w14:paraId="67986346" w14:textId="77777777" w:rsidR="0047123B" w:rsidRPr="00FF365E" w:rsidRDefault="0047123B">
            <w:pPr>
              <w:spacing w:line="240" w:lineRule="auto"/>
              <w:rPr>
                <w:rFonts w:eastAsia="Calibri"/>
                <w:sz w:val="24"/>
                <w:szCs w:val="24"/>
              </w:rPr>
            </w:pPr>
          </w:p>
        </w:tc>
        <w:tc>
          <w:tcPr>
            <w:tcW w:w="8222" w:type="dxa"/>
          </w:tcPr>
          <w:p w14:paraId="5C2552B0" w14:textId="77777777" w:rsidR="0047123B" w:rsidRPr="00FF365E" w:rsidRDefault="0047123B">
            <w:pPr>
              <w:spacing w:line="240" w:lineRule="auto"/>
              <w:rPr>
                <w:rFonts w:eastAsia="Calibri"/>
                <w:sz w:val="24"/>
                <w:szCs w:val="24"/>
              </w:rPr>
            </w:pPr>
            <w:r w:rsidRPr="00FF365E">
              <w:rPr>
                <w:rFonts w:eastAsia="Calibri"/>
                <w:sz w:val="24"/>
                <w:szCs w:val="24"/>
              </w:rPr>
              <w:t>Schwermetall</w:t>
            </w:r>
          </w:p>
        </w:tc>
      </w:tr>
      <w:tr w:rsidR="0047123B" w:rsidRPr="00FF365E" w14:paraId="78D7825C" w14:textId="77777777">
        <w:tc>
          <w:tcPr>
            <w:tcW w:w="2269" w:type="dxa"/>
          </w:tcPr>
          <w:p w14:paraId="629D5999" w14:textId="77777777" w:rsidR="0047123B" w:rsidRPr="00FF365E" w:rsidRDefault="0047123B">
            <w:pPr>
              <w:spacing w:line="240" w:lineRule="auto"/>
              <w:jc w:val="right"/>
              <w:rPr>
                <w:rFonts w:eastAsia="Calibri"/>
                <w:sz w:val="24"/>
                <w:szCs w:val="24"/>
              </w:rPr>
            </w:pPr>
            <w:r w:rsidRPr="00FF365E">
              <w:rPr>
                <w:rFonts w:eastAsia="Calibri"/>
                <w:sz w:val="24"/>
                <w:szCs w:val="24"/>
              </w:rPr>
              <w:t>HSM</w:t>
            </w:r>
          </w:p>
        </w:tc>
        <w:tc>
          <w:tcPr>
            <w:tcW w:w="283" w:type="dxa"/>
          </w:tcPr>
          <w:p w14:paraId="498326E9" w14:textId="77777777" w:rsidR="0047123B" w:rsidRPr="00FF365E" w:rsidRDefault="0047123B">
            <w:pPr>
              <w:spacing w:line="240" w:lineRule="auto"/>
              <w:rPr>
                <w:rFonts w:eastAsia="Calibri"/>
                <w:sz w:val="24"/>
                <w:szCs w:val="24"/>
              </w:rPr>
            </w:pPr>
          </w:p>
        </w:tc>
        <w:tc>
          <w:tcPr>
            <w:tcW w:w="8222" w:type="dxa"/>
          </w:tcPr>
          <w:p w14:paraId="47789ACD" w14:textId="77777777" w:rsidR="0047123B" w:rsidRPr="00FF365E" w:rsidRDefault="0047123B">
            <w:pPr>
              <w:spacing w:line="240" w:lineRule="auto"/>
              <w:rPr>
                <w:rFonts w:eastAsia="Calibri"/>
                <w:sz w:val="24"/>
                <w:szCs w:val="24"/>
              </w:rPr>
            </w:pPr>
            <w:r w:rsidRPr="00FF365E">
              <w:rPr>
                <w:rFonts w:eastAsia="Calibri"/>
                <w:sz w:val="24"/>
                <w:szCs w:val="24"/>
              </w:rPr>
              <w:t>Holzschutzmittel</w:t>
            </w:r>
          </w:p>
        </w:tc>
      </w:tr>
      <w:tr w:rsidR="0047123B" w:rsidRPr="00FF365E" w14:paraId="0430844B" w14:textId="77777777">
        <w:tc>
          <w:tcPr>
            <w:tcW w:w="2269" w:type="dxa"/>
            <w:shd w:val="clear" w:color="auto" w:fill="FFFF00"/>
          </w:tcPr>
          <w:p w14:paraId="7EB10618" w14:textId="77777777" w:rsidR="0047123B" w:rsidRPr="00FF365E" w:rsidRDefault="0047123B">
            <w:pPr>
              <w:spacing w:line="240" w:lineRule="auto"/>
              <w:jc w:val="right"/>
              <w:rPr>
                <w:rFonts w:eastAsia="Calibri"/>
                <w:sz w:val="24"/>
                <w:szCs w:val="24"/>
              </w:rPr>
            </w:pPr>
          </w:p>
        </w:tc>
        <w:tc>
          <w:tcPr>
            <w:tcW w:w="283" w:type="dxa"/>
          </w:tcPr>
          <w:p w14:paraId="6843BE87" w14:textId="77777777" w:rsidR="0047123B" w:rsidRPr="00FF365E" w:rsidRDefault="0047123B">
            <w:pPr>
              <w:spacing w:line="240" w:lineRule="auto"/>
              <w:rPr>
                <w:rFonts w:eastAsia="Calibri"/>
                <w:sz w:val="24"/>
                <w:szCs w:val="24"/>
              </w:rPr>
            </w:pPr>
          </w:p>
        </w:tc>
        <w:tc>
          <w:tcPr>
            <w:tcW w:w="8222" w:type="dxa"/>
          </w:tcPr>
          <w:p w14:paraId="09F12BF8" w14:textId="6B77BDAD" w:rsidR="0047123B" w:rsidRPr="00FF365E" w:rsidRDefault="00FF365E">
            <w:pPr>
              <w:spacing w:line="240" w:lineRule="auto"/>
              <w:rPr>
                <w:rFonts w:eastAsia="Calibri"/>
                <w:sz w:val="24"/>
                <w:szCs w:val="24"/>
              </w:rPr>
            </w:pPr>
            <w:r>
              <w:rPr>
                <w:rFonts w:eastAsia="Calibri"/>
                <w:sz w:val="24"/>
                <w:szCs w:val="24"/>
              </w:rPr>
              <w:t>Reiner Verdachtsmoment</w:t>
            </w:r>
          </w:p>
        </w:tc>
      </w:tr>
      <w:tr w:rsidR="00FF365E" w:rsidRPr="00FF365E" w14:paraId="008D3EC2" w14:textId="77777777" w:rsidTr="00FF365E">
        <w:tc>
          <w:tcPr>
            <w:tcW w:w="2269" w:type="dxa"/>
            <w:shd w:val="clear" w:color="auto" w:fill="FFC000"/>
          </w:tcPr>
          <w:p w14:paraId="243D131B" w14:textId="77777777" w:rsidR="00FF365E" w:rsidRPr="00FF365E" w:rsidRDefault="00FF365E" w:rsidP="00FF365E">
            <w:pPr>
              <w:spacing w:line="240" w:lineRule="auto"/>
              <w:jc w:val="right"/>
              <w:rPr>
                <w:rFonts w:eastAsia="Calibri"/>
                <w:sz w:val="24"/>
                <w:szCs w:val="24"/>
              </w:rPr>
            </w:pPr>
          </w:p>
        </w:tc>
        <w:tc>
          <w:tcPr>
            <w:tcW w:w="283" w:type="dxa"/>
          </w:tcPr>
          <w:p w14:paraId="5612C77A" w14:textId="77777777" w:rsidR="00FF365E" w:rsidRPr="00FF365E" w:rsidRDefault="00FF365E" w:rsidP="00FF365E">
            <w:pPr>
              <w:spacing w:line="240" w:lineRule="auto"/>
              <w:rPr>
                <w:rFonts w:eastAsia="Calibri"/>
                <w:sz w:val="24"/>
                <w:szCs w:val="24"/>
              </w:rPr>
            </w:pPr>
          </w:p>
        </w:tc>
        <w:tc>
          <w:tcPr>
            <w:tcW w:w="8222" w:type="dxa"/>
          </w:tcPr>
          <w:p w14:paraId="297B76E7" w14:textId="5A9D910E" w:rsidR="00FF365E" w:rsidRPr="00FF365E" w:rsidRDefault="00FF365E" w:rsidP="00FF365E">
            <w:pPr>
              <w:spacing w:line="240" w:lineRule="auto"/>
              <w:rPr>
                <w:rFonts w:eastAsia="Calibri"/>
                <w:sz w:val="24"/>
                <w:szCs w:val="24"/>
              </w:rPr>
            </w:pPr>
            <w:r w:rsidRPr="00FF365E">
              <w:rPr>
                <w:rFonts w:eastAsia="Calibri"/>
                <w:sz w:val="24"/>
                <w:szCs w:val="24"/>
              </w:rPr>
              <w:t>Instruierter Handwerker</w:t>
            </w:r>
          </w:p>
        </w:tc>
      </w:tr>
      <w:tr w:rsidR="00FF365E" w:rsidRPr="00FF365E" w14:paraId="43FF66E6" w14:textId="77777777">
        <w:trPr>
          <w:trHeight w:val="119"/>
        </w:trPr>
        <w:tc>
          <w:tcPr>
            <w:tcW w:w="2269" w:type="dxa"/>
            <w:shd w:val="clear" w:color="auto" w:fill="FF0000"/>
          </w:tcPr>
          <w:p w14:paraId="544FD164" w14:textId="77777777" w:rsidR="00FF365E" w:rsidRPr="00FF365E" w:rsidRDefault="00FF365E" w:rsidP="00FF365E">
            <w:pPr>
              <w:spacing w:line="240" w:lineRule="auto"/>
              <w:rPr>
                <w:rFonts w:eastAsia="Calibri"/>
                <w:sz w:val="24"/>
                <w:szCs w:val="24"/>
              </w:rPr>
            </w:pPr>
          </w:p>
        </w:tc>
        <w:tc>
          <w:tcPr>
            <w:tcW w:w="283" w:type="dxa"/>
          </w:tcPr>
          <w:p w14:paraId="1520C03F" w14:textId="77777777" w:rsidR="00FF365E" w:rsidRPr="00FF365E" w:rsidRDefault="00FF365E" w:rsidP="00FF365E">
            <w:pPr>
              <w:spacing w:line="240" w:lineRule="auto"/>
              <w:rPr>
                <w:rFonts w:eastAsia="Calibri"/>
                <w:sz w:val="24"/>
                <w:szCs w:val="24"/>
              </w:rPr>
            </w:pPr>
          </w:p>
        </w:tc>
        <w:tc>
          <w:tcPr>
            <w:tcW w:w="8222" w:type="dxa"/>
          </w:tcPr>
          <w:p w14:paraId="247BFF57" w14:textId="77777777" w:rsidR="00FF365E" w:rsidRPr="00FF365E" w:rsidRDefault="00FF365E" w:rsidP="00FF365E">
            <w:pPr>
              <w:spacing w:line="240" w:lineRule="auto"/>
              <w:rPr>
                <w:rFonts w:eastAsia="Calibri"/>
                <w:sz w:val="24"/>
                <w:szCs w:val="24"/>
              </w:rPr>
            </w:pPr>
            <w:r w:rsidRPr="00FF365E">
              <w:rPr>
                <w:rFonts w:eastAsia="Calibri"/>
                <w:sz w:val="24"/>
                <w:szCs w:val="24"/>
              </w:rPr>
              <w:t>Suva anerkannte Schadstoffsanierer</w:t>
            </w:r>
          </w:p>
        </w:tc>
      </w:tr>
      <w:tr w:rsidR="00503D42" w:rsidRPr="00FF365E" w14:paraId="4D03938C" w14:textId="77777777" w:rsidTr="00503D42">
        <w:trPr>
          <w:trHeight w:val="119"/>
        </w:trPr>
        <w:tc>
          <w:tcPr>
            <w:tcW w:w="2269" w:type="dxa"/>
          </w:tcPr>
          <w:p w14:paraId="2C6DB166" w14:textId="77777777" w:rsidR="00503D42" w:rsidRPr="00FF365E" w:rsidRDefault="00503D42" w:rsidP="00FF365E">
            <w:pPr>
              <w:spacing w:line="240" w:lineRule="auto"/>
              <w:rPr>
                <w:rFonts w:eastAsia="Calibri"/>
                <w:sz w:val="24"/>
                <w:szCs w:val="24"/>
              </w:rPr>
            </w:pPr>
          </w:p>
        </w:tc>
        <w:tc>
          <w:tcPr>
            <w:tcW w:w="283" w:type="dxa"/>
          </w:tcPr>
          <w:p w14:paraId="073B4E68" w14:textId="77777777" w:rsidR="00503D42" w:rsidRPr="00FF365E" w:rsidRDefault="00503D42" w:rsidP="00FF365E">
            <w:pPr>
              <w:spacing w:line="240" w:lineRule="auto"/>
              <w:rPr>
                <w:rFonts w:eastAsia="Calibri"/>
                <w:sz w:val="24"/>
                <w:szCs w:val="24"/>
              </w:rPr>
            </w:pPr>
          </w:p>
        </w:tc>
        <w:tc>
          <w:tcPr>
            <w:tcW w:w="8222" w:type="dxa"/>
          </w:tcPr>
          <w:p w14:paraId="4627BDB7" w14:textId="77777777" w:rsidR="00503D42" w:rsidRDefault="00503D42" w:rsidP="00FF365E">
            <w:pPr>
              <w:spacing w:line="240" w:lineRule="auto"/>
              <w:rPr>
                <w:rFonts w:eastAsia="Calibri"/>
                <w:sz w:val="24"/>
                <w:szCs w:val="24"/>
              </w:rPr>
            </w:pPr>
          </w:p>
          <w:p w14:paraId="093B8FAD" w14:textId="77777777" w:rsidR="00503D42" w:rsidRPr="00FF365E" w:rsidRDefault="00503D42" w:rsidP="00FF365E">
            <w:pPr>
              <w:spacing w:line="240" w:lineRule="auto"/>
              <w:rPr>
                <w:rFonts w:eastAsia="Calibri"/>
                <w:sz w:val="24"/>
                <w:szCs w:val="24"/>
              </w:rPr>
            </w:pPr>
          </w:p>
        </w:tc>
      </w:tr>
    </w:tbl>
    <w:p w14:paraId="77BFC7D9" w14:textId="77777777" w:rsidR="00FF365E" w:rsidRDefault="0047123B" w:rsidP="00FF365E">
      <w:pPr>
        <w:pStyle w:val="berschrift1"/>
        <w:numPr>
          <w:ilvl w:val="0"/>
          <w:numId w:val="5"/>
        </w:numPr>
        <w:spacing w:before="240" w:after="0" w:line="240" w:lineRule="auto"/>
        <w:rPr>
          <w:rFonts w:eastAsia="Calibri"/>
          <w:b/>
          <w:bCs/>
          <w:color w:val="2F5496"/>
          <w:sz w:val="32"/>
          <w:szCs w:val="32"/>
        </w:rPr>
      </w:pPr>
      <w:r w:rsidRPr="00FF365E">
        <w:rPr>
          <w:rFonts w:eastAsia="Calibri"/>
          <w:b/>
          <w:bCs/>
          <w:color w:val="2F5496"/>
          <w:sz w:val="32"/>
          <w:szCs w:val="32"/>
        </w:rPr>
        <w:t>Übersicht der Bauschadstoffvorkommen mit Sanierungsangaben</w:t>
      </w:r>
      <w:bookmarkStart w:id="29" w:name="_3rdcrjn" w:colFirst="0" w:colLast="0"/>
      <w:bookmarkEnd w:id="29"/>
    </w:p>
    <w:p w14:paraId="0EF9226A" w14:textId="441BF7DC" w:rsidR="0047123B" w:rsidRPr="00FF365E" w:rsidRDefault="0047123B" w:rsidP="00FF365E">
      <w:pPr>
        <w:pStyle w:val="berschrift1"/>
        <w:spacing w:before="240" w:after="0" w:line="240" w:lineRule="auto"/>
        <w:rPr>
          <w:rFonts w:eastAsia="Calibri"/>
          <w:b/>
          <w:bCs/>
          <w:color w:val="2F5496"/>
          <w:sz w:val="32"/>
          <w:szCs w:val="32"/>
        </w:rPr>
      </w:pPr>
      <w:r w:rsidRPr="00FF365E">
        <w:rPr>
          <w:rFonts w:eastAsia="Calibri"/>
          <w:sz w:val="24"/>
          <w:szCs w:val="24"/>
        </w:rPr>
        <w:t>Die nachfolgende Tabelle zeigt alle identifizierten Schadstoffvorkommen:</w:t>
      </w:r>
    </w:p>
    <w:tbl>
      <w:tblGrid>
        <w:gridCol w:w="980" w:type="dxa"/>
        <w:gridCol w:w="840" w:type="dxa"/>
        <w:gridCol w:w="1120" w:type="dxa"/>
        <w:gridCol w:w="1120" w:type="dxa"/>
        <w:gridCol w:w="840" w:type="dxa"/>
        <w:gridCol w:w="560" w:type="dxa"/>
        <w:gridCol w:w="560" w:type="dxa"/>
        <w:gridCol w:w="560" w:type="dxa"/>
      </w:tblGrid>
      <w:tblPr>
        <w:tblW w:w="0" w:type="auto"/>
        <w:tblLayout w:type="autofit"/>
        <w:tblBorders>
          <w:top w:val="single" w:sz="12"/>
          <w:left w:val="single" w:sz="12"/>
          <w:right w:val="single" w:sz="12"/>
          <w:bottom w:val="single" w:sz="12"/>
          <w:insideH w:val="single" w:sz="12"/>
          <w:insideV w:val="single" w:sz="12"/>
        </w:tblBorders>
      </w:tblPr>
      <w:tr>
        <w:trPr/>
        <w:tc>
          <w:tcPr>
            <w:tcW w:w="980" w:type="dxa"/>
            <w:shd w:val="clear" w:fill="67ffcb"/>
            <w:noWrap/>
          </w:tcPr>
          <w:p>
            <w:pPr/>
            <w:r>
              <w:rPr/>
              <w:t xml:space="preserve">Proben-bezeichnung</w:t>
            </w:r>
          </w:p>
        </w:tc>
        <w:tc>
          <w:tcPr>
            <w:tcW w:w="840" w:type="dxa"/>
            <w:shd w:val="clear" w:fill="67ffcb"/>
            <w:noWrap/>
          </w:tcPr>
          <w:p>
            <w:pPr/>
            <w:r>
              <w:rPr/>
              <w:t xml:space="preserve">Gebäude/ Ebene/Raum</w:t>
            </w:r>
          </w:p>
        </w:tc>
        <w:tc>
          <w:tcPr>
            <w:tcW w:w="1120" w:type="dxa"/>
            <w:shd w:val="clear" w:fill="67ffcb"/>
            <w:noWrap/>
          </w:tcPr>
          <w:p>
            <w:pPr/>
            <w:r>
              <w:rPr/>
              <w:t xml:space="preserve">Einbauort</w:t>
            </w:r>
          </w:p>
        </w:tc>
        <w:tc>
          <w:tcPr>
            <w:tcW w:w="1120" w:type="dxa"/>
            <w:shd w:val="clear" w:fill="67ffcb"/>
            <w:noWrap/>
          </w:tcPr>
          <w:p>
            <w:pPr/>
            <w:r>
              <w:rPr/>
              <w:t xml:space="preserve">Material</w:t>
            </w:r>
          </w:p>
        </w:tc>
        <w:tc>
          <w:tcPr>
            <w:tcW w:w="840" w:type="dxa"/>
            <w:shd w:val="clear" w:fill="67ffcb"/>
            <w:noWrap/>
          </w:tcPr>
          <w:p>
            <w:pPr/>
            <w:r>
              <w:rPr/>
              <w:t xml:space="preserve">Schadstoff</w:t>
            </w:r>
          </w:p>
        </w:tc>
        <w:tc>
          <w:tcPr>
            <w:tcW w:w="560" w:type="dxa"/>
            <w:shd w:val="clear" w:fill="67ffcb"/>
            <w:noWrap/>
          </w:tcPr>
          <w:p>
            <w:pPr/>
            <w:r>
              <w:rPr/>
              <w:t xml:space="preserve">Verdacht</w:t>
            </w:r>
          </w:p>
        </w:tc>
        <w:tc>
          <w:tcPr>
            <w:tcW w:w="560" w:type="dxa"/>
            <w:shd w:val="clear" w:fill="67ffcb"/>
            <w:noWrap/>
          </w:tcPr>
          <w:p>
            <w:pPr/>
            <w:r>
              <w:rPr/>
              <w:t xml:space="preserve">Exp.</w:t>
            </w:r>
          </w:p>
        </w:tc>
        <w:tc>
          <w:tcPr>
            <w:tcW w:w="560" w:type="dxa"/>
            <w:shd w:val="clear" w:fill="67ffcb"/>
            <w:noWrap/>
          </w:tcPr>
          <w:p>
            <w:pPr/>
            <w:r>
              <w:rPr/>
              <w:t xml:space="preserve">Labor</w:t>
            </w:r>
          </w:p>
        </w:tc>
      </w:tr>
    </w:tbl>
    <w:p w14:paraId="3842DB8E" w14:textId="77777777" w:rsidR="00503D42" w:rsidRDefault="00503D42">
      <w:pPr>
        <w:rPr>
          <w:rFonts w:eastAsia="Calibri"/>
          <w:sz w:val="24"/>
          <w:szCs w:val="24"/>
        </w:rPr>
      </w:pPr>
      <w:r>
        <w:rPr>
          <w:rFonts w:eastAsia="Calibri"/>
          <w:sz w:val="24"/>
          <w:szCs w:val="24"/>
        </w:rPr>
        <w:br w:type="page"/>
      </w:r>
    </w:p>
    <w:p w14:paraId="3AF71CEF" w14:textId="2FB3D4EA" w:rsidR="0047123B" w:rsidRPr="00FF365E" w:rsidRDefault="0047123B" w:rsidP="00FF365E">
      <w:pPr>
        <w:pStyle w:val="berschrift1"/>
        <w:numPr>
          <w:ilvl w:val="0"/>
          <w:numId w:val="5"/>
        </w:numPr>
        <w:spacing w:before="240" w:after="0" w:line="240" w:lineRule="auto"/>
        <w:rPr>
          <w:rFonts w:eastAsia="Calibri"/>
          <w:b/>
          <w:bCs/>
          <w:color w:val="2F5496"/>
          <w:sz w:val="32"/>
          <w:szCs w:val="32"/>
        </w:rPr>
      </w:pPr>
      <w:r w:rsidRPr="00FF365E">
        <w:rPr>
          <w:rFonts w:eastAsia="Calibri"/>
          <w:b/>
          <w:bCs/>
          <w:color w:val="2F5496"/>
          <w:sz w:val="32"/>
          <w:szCs w:val="32"/>
        </w:rPr>
        <w:lastRenderedPageBreak/>
        <w:t xml:space="preserve">Sanierung der Schadstoffe </w:t>
      </w:r>
    </w:p>
    <w:p w14:paraId="351DC85A" w14:textId="77777777" w:rsidR="0047123B" w:rsidRDefault="0047123B" w:rsidP="0047123B">
      <w:pPr>
        <w:pStyle w:val="berschrift2"/>
        <w:numPr>
          <w:ilvl w:val="1"/>
          <w:numId w:val="5"/>
        </w:numPr>
        <w:spacing w:before="40" w:after="0" w:line="240" w:lineRule="auto"/>
        <w:rPr>
          <w:rFonts w:eastAsia="Calibri"/>
          <w:b/>
          <w:color w:val="2F5496"/>
          <w:sz w:val="26"/>
          <w:szCs w:val="26"/>
        </w:rPr>
      </w:pPr>
      <w:r w:rsidRPr="00FF365E">
        <w:rPr>
          <w:rFonts w:eastAsia="Calibri"/>
          <w:b/>
          <w:color w:val="2F5496"/>
          <w:sz w:val="26"/>
          <w:szCs w:val="26"/>
        </w:rPr>
        <w:t>Sanierung durch Schadstoffsanierer</w:t>
      </w:r>
    </w:p>
    <w:p w14:paraId="335536F7" w14:textId="77777777" w:rsidR="00CE0139" w:rsidRPr="00CE0139" w:rsidRDefault="00CE0139" w:rsidP="00CE0139"/>
    <w:tbl>
      <w:tblGrid>
        <w:gridCol w:w="1680" w:type="dxa"/>
        <w:gridCol w:w="1960" w:type="dxa"/>
        <w:gridCol w:w="1120" w:type="dxa"/>
        <w:gridCol w:w="840" w:type="dxa"/>
        <w:gridCol w:w="1400" w:type="dxa"/>
        <w:gridCol w:w="1680" w:type="dxa"/>
      </w:tblGrid>
      <w:tblPr>
        <w:tblW w:w="0" w:type="auto"/>
        <w:tblLayout w:type="autofit"/>
        <w:tblBorders>
          <w:top w:val="single" w:sz="12"/>
          <w:left w:val="single" w:sz="12"/>
          <w:right w:val="single" w:sz="12"/>
          <w:bottom w:val="single" w:sz="12"/>
          <w:insideH w:val="single" w:sz="12"/>
          <w:insideV w:val="single" w:sz="12"/>
        </w:tblBorders>
      </w:tblPr>
      <w:tr>
        <w:trPr/>
        <w:tc>
          <w:tcPr>
            <w:tcW w:w="1680" w:type="dxa"/>
            <w:shd w:val="clear" w:fill="67ffcb"/>
            <w:noWrap/>
          </w:tcPr>
          <w:p>
            <w:pPr/>
            <w:r>
              <w:rPr/>
              <w:t xml:space="preserve">Probe-ID</w:t>
            </w:r>
          </w:p>
        </w:tc>
        <w:tc>
          <w:tcPr>
            <w:tcW w:w="1960" w:type="dxa"/>
            <w:shd w:val="clear" w:fill="67ffcb"/>
            <w:noWrap/>
          </w:tcPr>
          <w:p>
            <w:pPr/>
            <w:r>
              <w:rPr/>
              <w:t xml:space="preserve">Material</w:t>
            </w:r>
          </w:p>
        </w:tc>
        <w:tc>
          <w:tcPr>
            <w:tcW w:w="1120" w:type="dxa"/>
            <w:shd w:val="clear" w:fill="67ffcb"/>
            <w:noWrap/>
          </w:tcPr>
          <w:p>
            <w:pPr/>
            <w:r>
              <w:rPr/>
              <w:t xml:space="preserve">Menge</w:t>
            </w:r>
          </w:p>
        </w:tc>
        <w:tc>
          <w:tcPr>
            <w:tcW w:w="840" w:type="dxa"/>
            <w:shd w:val="clear" w:fill="67ffcb"/>
            <w:noWrap/>
          </w:tcPr>
          <w:p>
            <w:pPr/>
            <w:r>
              <w:rPr/>
              <w:t xml:space="preserve">DKS</w:t>
            </w:r>
          </w:p>
        </w:tc>
        <w:tc>
          <w:tcPr>
            <w:tcW w:w="1400" w:type="dxa"/>
            <w:shd w:val="clear" w:fill="67ffcb"/>
            <w:noWrap/>
          </w:tcPr>
          <w:p>
            <w:pPr/>
            <w:r>
              <w:rPr/>
              <w:t xml:space="preserve">Richtlinien</w:t>
            </w:r>
          </w:p>
        </w:tc>
        <w:tc>
          <w:tcPr>
            <w:tcW w:w="1680" w:type="dxa"/>
            <w:shd w:val="clear" w:fill="67ffcb"/>
            <w:noWrap/>
          </w:tcPr>
          <w:p>
            <w:pPr/>
            <w:r>
              <w:rPr/>
              <w:t xml:space="preserve">LVA Code</w:t>
            </w:r>
          </w:p>
        </w:tc>
      </w:tr>
    </w:tbl>
    <w:p w14:paraId="460A993C" w14:textId="77777777" w:rsidR="0047123B" w:rsidRPr="00FF365E" w:rsidRDefault="0047123B" w:rsidP="0047123B">
      <w:pPr>
        <w:spacing w:line="240" w:lineRule="auto"/>
        <w:rPr>
          <w:sz w:val="24"/>
          <w:szCs w:val="24"/>
        </w:rPr>
      </w:pPr>
    </w:p>
    <w:p w14:paraId="1FA56632" w14:textId="77777777" w:rsidR="0047123B" w:rsidRPr="00FF365E" w:rsidRDefault="0047123B" w:rsidP="0047123B">
      <w:pPr>
        <w:pStyle w:val="berschrift2"/>
        <w:numPr>
          <w:ilvl w:val="1"/>
          <w:numId w:val="5"/>
        </w:numPr>
        <w:spacing w:before="40" w:after="0" w:line="240" w:lineRule="auto"/>
        <w:rPr>
          <w:rFonts w:eastAsia="Calibri"/>
          <w:b/>
          <w:color w:val="2F5496"/>
          <w:sz w:val="26"/>
          <w:szCs w:val="26"/>
        </w:rPr>
      </w:pPr>
      <w:bookmarkStart w:id="32" w:name="_26in1rg" w:colFirst="0" w:colLast="0"/>
      <w:bookmarkEnd w:id="32"/>
      <w:r w:rsidRPr="00FF365E">
        <w:rPr>
          <w:rFonts w:eastAsia="Calibri"/>
          <w:b/>
          <w:color w:val="2F5496"/>
          <w:sz w:val="26"/>
          <w:szCs w:val="26"/>
        </w:rPr>
        <w:t>Sanierung durch instruierte Handwerker</w:t>
      </w:r>
    </w:p>
    <w:p w14:paraId="274E4603" w14:textId="0AB32168" w:rsidR="0047123B" w:rsidRPr="00FF365E" w:rsidRDefault="0047123B" w:rsidP="0047123B">
      <w:pPr>
        <w:spacing w:line="240" w:lineRule="auto"/>
        <w:rPr>
          <w:rFonts w:eastAsia="Calibri"/>
          <w:sz w:val="24"/>
          <w:szCs w:val="24"/>
        </w:rPr>
      </w:pPr>
      <w:r w:rsidRPr="00FF365E">
        <w:rPr>
          <w:rFonts w:eastAsia="Calibri"/>
          <w:sz w:val="24"/>
          <w:szCs w:val="24"/>
        </w:rPr>
        <w:t xml:space="preserve">Diese Tabelle Zeigt Schadstoffbefunde welche unter Einhaltung der angegebenen </w:t>
      </w:r>
      <w:r w:rsidR="00AE6983">
        <w:rPr>
          <w:rFonts w:eastAsia="Calibri"/>
          <w:sz w:val="24"/>
          <w:szCs w:val="24"/>
        </w:rPr>
        <w:t>Richtlinien</w:t>
      </w:r>
      <w:r w:rsidRPr="00FF365E">
        <w:rPr>
          <w:rFonts w:eastAsia="Calibri"/>
          <w:sz w:val="24"/>
          <w:szCs w:val="24"/>
        </w:rPr>
        <w:t xml:space="preserve"> durch instruierte Handwerker rückgebaut werden können:</w:t>
      </w:r>
    </w:p>
    <w:tbl>
      <w:tblGrid>
        <w:gridCol w:w="1960" w:type="dxa"/>
        <w:gridCol w:w="2240" w:type="dxa"/>
        <w:gridCol w:w="1120" w:type="dxa"/>
        <w:gridCol w:w="1120" w:type="dxa"/>
        <w:gridCol w:w="168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1960" w:type="dxa"/>
            <w:shd w:val="clear" w:fill="67ffcb"/>
            <w:noWrap/>
          </w:tcPr>
          <w:p>
            <w:pPr/>
            <w:r>
              <w:rPr/>
              <w:t xml:space="preserve">Probe-ID</w:t>
            </w:r>
          </w:p>
        </w:tc>
        <w:tc>
          <w:tcPr>
            <w:tcW w:w="2240" w:type="dxa"/>
            <w:shd w:val="clear" w:fill="67ffcb"/>
            <w:noWrap/>
          </w:tcPr>
          <w:p>
            <w:pPr/>
            <w:r>
              <w:rPr/>
              <w:t xml:space="preserve">Material</w:t>
            </w:r>
          </w:p>
        </w:tc>
        <w:tc>
          <w:tcPr>
            <w:tcW w:w="1120" w:type="dxa"/>
            <w:shd w:val="clear" w:fill="67ffcb"/>
            <w:noWrap/>
          </w:tcPr>
          <w:p>
            <w:pPr/>
            <w:r>
              <w:rPr/>
              <w:t xml:space="preserve">Menge</w:t>
            </w:r>
          </w:p>
        </w:tc>
        <w:tc>
          <w:tcPr>
            <w:tcW w:w="1120" w:type="dxa"/>
            <w:shd w:val="clear" w:fill="67ffcb"/>
            <w:noWrap/>
          </w:tcPr>
          <w:p>
            <w:pPr/>
            <w:r>
              <w:rPr/>
              <w:t xml:space="preserve">DKS</w:t>
            </w:r>
          </w:p>
        </w:tc>
        <w:tc>
          <w:tcPr>
            <w:tcW w:w="1680" w:type="dxa"/>
            <w:shd w:val="clear" w:fill="67ffcb"/>
            <w:noWrap/>
          </w:tcPr>
          <w:p>
            <w:pPr/>
            <w:r>
              <w:rPr/>
              <w:t xml:space="preserve">Richtlinien</w:t>
            </w:r>
          </w:p>
        </w:tc>
        <w:tc>
          <w:tcPr>
            <w:tcW w:w="1960" w:type="dxa"/>
            <w:shd w:val="clear" w:fill="67ffcb"/>
            <w:noWrap/>
          </w:tcPr>
          <w:p>
            <w:pPr/>
            <w:r>
              <w:rPr/>
              <w:t xml:space="preserve">LVA Code</w:t>
            </w:r>
          </w:p>
        </w:tc>
      </w:tr>
    </w:tbl>
    <w:p w14:paraId="78EF3B09" w14:textId="203B0C17" w:rsidR="0047123B" w:rsidRPr="00FF365E" w:rsidRDefault="0047123B" w:rsidP="00FF365E">
      <w:pPr>
        <w:pStyle w:val="berschrift1"/>
        <w:numPr>
          <w:ilvl w:val="0"/>
          <w:numId w:val="5"/>
        </w:numPr>
        <w:spacing w:before="240" w:after="0" w:line="240" w:lineRule="auto"/>
        <w:rPr>
          <w:rFonts w:eastAsia="Calibri"/>
          <w:b/>
          <w:bCs/>
          <w:color w:val="2F5496"/>
          <w:sz w:val="32"/>
          <w:szCs w:val="32"/>
        </w:rPr>
      </w:pPr>
      <w:bookmarkStart w:id="34" w:name="_z337ya" w:colFirst="0" w:colLast="0"/>
      <w:bookmarkEnd w:id="34"/>
      <w:r w:rsidRPr="00FF365E">
        <w:rPr>
          <w:rFonts w:eastAsia="Calibri"/>
          <w:b/>
          <w:bCs/>
          <w:color w:val="2F5496"/>
          <w:sz w:val="32"/>
          <w:szCs w:val="32"/>
        </w:rPr>
        <w:t>Entsorgung der Schadstoffe</w:t>
      </w:r>
    </w:p>
    <w:p w14:paraId="0CB8CD6C" w14:textId="77777777" w:rsidR="0047123B" w:rsidRPr="00FF365E" w:rsidRDefault="0047123B" w:rsidP="0047123B">
      <w:pPr>
        <w:pStyle w:val="berschrift2"/>
        <w:numPr>
          <w:ilvl w:val="1"/>
          <w:numId w:val="5"/>
        </w:numPr>
        <w:spacing w:before="40" w:after="0" w:line="240" w:lineRule="auto"/>
        <w:rPr>
          <w:rFonts w:eastAsia="Calibri"/>
          <w:b/>
          <w:color w:val="2F5496"/>
          <w:sz w:val="40"/>
          <w:szCs w:val="40"/>
        </w:rPr>
      </w:pPr>
      <w:r w:rsidRPr="00FF365E">
        <w:rPr>
          <w:rFonts w:eastAsia="Calibri"/>
          <w:b/>
          <w:color w:val="2F5496"/>
          <w:sz w:val="26"/>
          <w:szCs w:val="26"/>
        </w:rPr>
        <w:t>Entsorgungskonzept für die Schadstoffe</w:t>
      </w:r>
    </w:p>
    <w:p w14:paraId="28AD532C" w14:textId="15155B8A" w:rsidR="0047123B" w:rsidRPr="00FF365E" w:rsidRDefault="0047123B" w:rsidP="0047123B">
      <w:pPr>
        <w:spacing w:line="240" w:lineRule="auto"/>
        <w:rPr>
          <w:rFonts w:eastAsia="Calibri"/>
          <w:sz w:val="24"/>
          <w:szCs w:val="24"/>
        </w:rPr>
      </w:pPr>
      <w:r w:rsidRPr="00FF365E">
        <w:rPr>
          <w:rFonts w:eastAsia="Calibri"/>
          <w:sz w:val="24"/>
          <w:szCs w:val="24"/>
        </w:rPr>
        <w:t>Die folgende Tabelle gibt einen Überblick über die korrekte Entsorgung der Schadstoffe:</w:t>
      </w:r>
    </w:p>
    <w:tbl>
      <w:tblGrid>
        <w:gridCol w:w="1120" w:type="dxa"/>
        <w:gridCol w:w="1400" w:type="dxa"/>
        <w:gridCol w:w="1120" w:type="dxa"/>
        <w:gridCol w:w="1400" w:type="dxa"/>
        <w:gridCol w:w="1120" w:type="dxa"/>
        <w:gridCol w:w="280" w:type="dxa"/>
      </w:tblGrid>
      <w:tblPr>
        <w:tblW w:w="0" w:type="auto"/>
        <w:tblLayout w:type="autofit"/>
        <w:tblBorders>
          <w:top w:val="single" w:sz="12"/>
          <w:left w:val="single" w:sz="12"/>
          <w:right w:val="single" w:sz="12"/>
          <w:bottom w:val="single" w:sz="12"/>
          <w:insideH w:val="single" w:sz="12"/>
          <w:insideV w:val="single" w:sz="12"/>
        </w:tblBorders>
      </w:tblPr>
      <w:tr>
        <w:trPr/>
        <w:tc>
          <w:tcPr>
            <w:tcW w:w="1120" w:type="dxa"/>
            <w:shd w:val="clear" w:fill="67ffcb"/>
            <w:noWrap/>
          </w:tcPr>
          <w:p>
            <w:pPr/>
            <w:r>
              <w:rPr/>
              <w:t xml:space="preserve">Probe-ID</w:t>
            </w:r>
          </w:p>
        </w:tc>
        <w:tc>
          <w:tcPr>
            <w:tcW w:w="1400" w:type="dxa"/>
            <w:shd w:val="clear" w:fill="67ffcb"/>
            <w:noWrap/>
          </w:tcPr>
          <w:p>
            <w:pPr/>
            <w:r>
              <w:rPr/>
              <w:t xml:space="preserve">Abfallart</w:t>
            </w:r>
          </w:p>
        </w:tc>
        <w:tc>
          <w:tcPr>
            <w:tcW w:w="1120" w:type="dxa"/>
            <w:shd w:val="clear" w:fill="67ffcb"/>
            <w:noWrap/>
          </w:tcPr>
          <w:p>
            <w:pPr/>
            <w:r>
              <w:rPr/>
              <w:t xml:space="preserve">LVA Code</w:t>
            </w:r>
          </w:p>
        </w:tc>
        <w:tc>
          <w:tcPr>
            <w:tcW w:w="1400" w:type="dxa"/>
            <w:shd w:val="clear" w:fill="67ffcb"/>
            <w:noWrap/>
          </w:tcPr>
          <w:p>
            <w:pPr/>
            <w:r>
              <w:rPr/>
              <w:t xml:space="preserve">Genereller Entsorgungsweg</w:t>
            </w:r>
          </w:p>
        </w:tc>
        <w:tc>
          <w:tcPr>
            <w:tcW w:w="1120" w:type="dxa"/>
            <w:shd w:val="clear" w:fill="67ffcb"/>
            <w:noWrap/>
          </w:tcPr>
          <w:p>
            <w:pPr/>
            <w:r>
              <w:rPr/>
              <w:t xml:space="preserve">Entsorgungsort</w:t>
            </w:r>
          </w:p>
        </w:tc>
        <w:tc>
          <w:tcPr>
            <w:tcW w:w="280" w:type="dxa"/>
            <w:shd w:val="clear" w:fill="67ffcb"/>
            <w:noWrap/>
          </w:tcPr>
          <w:p>
            <w:pPr/>
            <w:r>
              <w:rPr/>
              <w:t xml:space="preserve">t</w:t>
            </w:r>
          </w:p>
        </w:tc>
      </w:tr>
    </w:tbl>
    <w:p w14:paraId="383C7F0A" w14:textId="66A0B038" w:rsidR="0047123B" w:rsidRPr="00FF365E" w:rsidRDefault="0047123B" w:rsidP="00FF365E">
      <w:pPr>
        <w:pStyle w:val="berschrift1"/>
        <w:numPr>
          <w:ilvl w:val="0"/>
          <w:numId w:val="5"/>
        </w:numPr>
        <w:spacing w:before="240" w:after="0" w:line="240" w:lineRule="auto"/>
      </w:pPr>
      <w:bookmarkStart w:id="35" w:name="OLE_LINK29"/>
      <w:r w:rsidRPr="00FF365E">
        <w:rPr>
          <w:rFonts w:eastAsia="Calibri"/>
          <w:b/>
          <w:color w:val="2F5496"/>
          <w:sz w:val="32"/>
          <w:szCs w:val="32"/>
        </w:rPr>
        <w:t>Empfehlung</w:t>
      </w:r>
      <w:bookmarkEnd w:id="35"/>
    </w:p>
    <w:p w14:paraId="03E28039" w14:textId="77777777" w:rsidR="0047123B" w:rsidRDefault="0047123B" w:rsidP="0047123B">
      <w:pPr>
        <w:spacing w:line="240" w:lineRule="auto"/>
        <w:rPr>
          <w:sz w:val="24"/>
          <w:szCs w:val="24"/>
        </w:rPr>
      </w:pPr>
    </w:p>
    <w:p w14:paraId="4C2008AB" w14:textId="77777777" w:rsidR="00503D42" w:rsidRPr="00503D42" w:rsidRDefault="00503D42" w:rsidP="00503D42">
      <w:pPr>
        <w:spacing w:line="240" w:lineRule="auto"/>
        <w:rPr>
          <w:sz w:val="24"/>
          <w:szCs w:val="24"/>
          <w:lang w:val="de-CH"/>
        </w:rPr>
      </w:pPr>
      <w:bookmarkStart w:id="36" w:name="_Hlk208928005"/>
      <w:r w:rsidRPr="00503D42">
        <w:rPr>
          <w:sz w:val="24"/>
          <w:szCs w:val="24"/>
          <w:lang w:val="de-CH"/>
        </w:rPr>
        <w:t>Der Eigentümer der Liegenschaft ist verantwortlich, die Mieter und Handwerker auf</w:t>
      </w:r>
    </w:p>
    <w:p w14:paraId="03F9602A" w14:textId="77777777" w:rsidR="00503D42" w:rsidRPr="00503D42" w:rsidRDefault="00503D42" w:rsidP="00503D42">
      <w:pPr>
        <w:spacing w:line="240" w:lineRule="auto"/>
        <w:rPr>
          <w:sz w:val="24"/>
          <w:szCs w:val="24"/>
          <w:lang w:val="de-CH"/>
        </w:rPr>
      </w:pPr>
      <w:r w:rsidRPr="00503D42">
        <w:rPr>
          <w:sz w:val="24"/>
          <w:szCs w:val="24"/>
          <w:lang w:val="de-CH"/>
        </w:rPr>
        <w:t>die schadstoffhaltigen Materialien aufmerksam zu machen und über die Gefahren zu</w:t>
      </w:r>
    </w:p>
    <w:p w14:paraId="10EAEF25" w14:textId="77777777" w:rsidR="00503D42" w:rsidRPr="00503D42" w:rsidRDefault="00503D42" w:rsidP="00503D42">
      <w:pPr>
        <w:spacing w:line="240" w:lineRule="auto"/>
        <w:rPr>
          <w:sz w:val="24"/>
          <w:szCs w:val="24"/>
          <w:lang w:val="de-CH"/>
        </w:rPr>
      </w:pPr>
      <w:r w:rsidRPr="00503D42">
        <w:rPr>
          <w:sz w:val="24"/>
          <w:szCs w:val="24"/>
          <w:lang w:val="de-CH"/>
        </w:rPr>
        <w:t>informieren. Hiermit soll sichergestellt werden, dass nicht versehentlich Arbeiten an</w:t>
      </w:r>
    </w:p>
    <w:p w14:paraId="1FE527A6" w14:textId="77777777" w:rsidR="00503D42" w:rsidRPr="00503D42" w:rsidRDefault="00503D42" w:rsidP="00503D42">
      <w:pPr>
        <w:spacing w:line="240" w:lineRule="auto"/>
        <w:rPr>
          <w:sz w:val="24"/>
          <w:szCs w:val="24"/>
          <w:lang w:val="de-CH"/>
        </w:rPr>
      </w:pPr>
      <w:r w:rsidRPr="00503D42">
        <w:rPr>
          <w:sz w:val="24"/>
          <w:szCs w:val="24"/>
          <w:lang w:val="de-CH"/>
        </w:rPr>
        <w:t>schadstoffhaltigen Materialien durchgeführt werden und dadurch unbewusst eine</w:t>
      </w:r>
    </w:p>
    <w:p w14:paraId="352ED08A" w14:textId="77777777" w:rsidR="00503D42" w:rsidRPr="00503D42" w:rsidRDefault="00503D42" w:rsidP="00503D42">
      <w:pPr>
        <w:spacing w:line="240" w:lineRule="auto"/>
        <w:rPr>
          <w:sz w:val="24"/>
          <w:szCs w:val="24"/>
          <w:lang w:val="de-CH"/>
        </w:rPr>
      </w:pPr>
      <w:r w:rsidRPr="00503D42">
        <w:rPr>
          <w:sz w:val="24"/>
          <w:szCs w:val="24"/>
          <w:lang w:val="de-CH"/>
        </w:rPr>
        <w:t>gefährliche Schadstofffreisetzung erfolgt. Siehe auch VVEA Art. 16.</w:t>
      </w:r>
    </w:p>
    <w:p w14:paraId="600311AD" w14:textId="77777777" w:rsidR="00503D42" w:rsidRPr="00503D42" w:rsidRDefault="00503D42" w:rsidP="00503D42">
      <w:pPr>
        <w:spacing w:line="240" w:lineRule="auto"/>
        <w:rPr>
          <w:sz w:val="24"/>
          <w:szCs w:val="24"/>
          <w:lang w:val="de-CH"/>
        </w:rPr>
      </w:pPr>
    </w:p>
    <w:p w14:paraId="70CA07FD" w14:textId="77777777" w:rsidR="00503D42" w:rsidRPr="00503D42" w:rsidRDefault="00503D42" w:rsidP="00503D42">
      <w:pPr>
        <w:spacing w:line="240" w:lineRule="auto"/>
        <w:rPr>
          <w:sz w:val="24"/>
          <w:szCs w:val="24"/>
          <w:lang w:val="de-CH"/>
        </w:rPr>
      </w:pPr>
      <w:r w:rsidRPr="00503D42">
        <w:rPr>
          <w:sz w:val="24"/>
          <w:szCs w:val="24"/>
          <w:lang w:val="de-CH"/>
        </w:rPr>
        <w:t>Vorschriften, Erfahrungs-, Richt- und Grenzwerte zu Schadstoffen können ändern.</w:t>
      </w:r>
    </w:p>
    <w:p w14:paraId="11A17591" w14:textId="77777777" w:rsidR="00503D42" w:rsidRPr="00503D42" w:rsidRDefault="00503D42" w:rsidP="00503D42">
      <w:pPr>
        <w:spacing w:line="240" w:lineRule="auto"/>
        <w:rPr>
          <w:sz w:val="24"/>
          <w:szCs w:val="24"/>
          <w:lang w:val="de-CH"/>
        </w:rPr>
      </w:pPr>
      <w:r w:rsidRPr="00503D42">
        <w:rPr>
          <w:sz w:val="24"/>
          <w:szCs w:val="24"/>
          <w:lang w:val="de-CH"/>
        </w:rPr>
        <w:t>Bei grösseren Objekten, die nach mehr als einem Jahr nach Verfassung des</w:t>
      </w:r>
    </w:p>
    <w:p w14:paraId="7A27EA81" w14:textId="77777777" w:rsidR="00503D42" w:rsidRPr="00503D42" w:rsidRDefault="00503D42" w:rsidP="00503D42">
      <w:pPr>
        <w:spacing w:line="240" w:lineRule="auto"/>
        <w:rPr>
          <w:sz w:val="24"/>
          <w:szCs w:val="24"/>
          <w:lang w:val="de-CH"/>
        </w:rPr>
      </w:pPr>
      <w:r w:rsidRPr="00503D42">
        <w:rPr>
          <w:sz w:val="24"/>
          <w:szCs w:val="24"/>
          <w:lang w:val="de-CH"/>
        </w:rPr>
        <w:t>vorliegenden Berichtes erstmals baulich verändert werden, empfehlen wir eine</w:t>
      </w:r>
    </w:p>
    <w:p w14:paraId="685C44DB" w14:textId="77777777" w:rsidR="00503D42" w:rsidRPr="00503D42" w:rsidRDefault="00503D42" w:rsidP="00503D42">
      <w:pPr>
        <w:spacing w:line="240" w:lineRule="auto"/>
        <w:rPr>
          <w:sz w:val="24"/>
          <w:szCs w:val="24"/>
          <w:lang w:val="de-CH"/>
        </w:rPr>
      </w:pPr>
      <w:r w:rsidRPr="00503D42">
        <w:rPr>
          <w:sz w:val="24"/>
          <w:szCs w:val="24"/>
          <w:lang w:val="de-CH"/>
        </w:rPr>
        <w:t>Überprüfung bzw. Beurteilung der Gültigkeit und Vollständigkeit dieses Berichtes</w:t>
      </w:r>
    </w:p>
    <w:p w14:paraId="36CA7846" w14:textId="77777777" w:rsidR="00503D42" w:rsidRPr="00503D42" w:rsidRDefault="00503D42" w:rsidP="00503D42">
      <w:pPr>
        <w:spacing w:line="240" w:lineRule="auto"/>
        <w:rPr>
          <w:sz w:val="24"/>
          <w:szCs w:val="24"/>
          <w:lang w:val="de-CH"/>
        </w:rPr>
      </w:pPr>
      <w:r w:rsidRPr="00503D42">
        <w:rPr>
          <w:sz w:val="24"/>
          <w:szCs w:val="24"/>
          <w:lang w:val="de-CH"/>
        </w:rPr>
        <w:t>gemäss den geltenden Vorschriften.</w:t>
      </w:r>
    </w:p>
    <w:bookmarkEnd w:id="36"/>
    <w:p w14:paraId="1074F2CB" w14:textId="77777777" w:rsidR="00503D42" w:rsidRPr="00503D42" w:rsidRDefault="00503D42" w:rsidP="00503D42">
      <w:pPr>
        <w:spacing w:line="240" w:lineRule="auto"/>
        <w:rPr>
          <w:sz w:val="24"/>
          <w:szCs w:val="24"/>
          <w:lang w:val="de-CH"/>
        </w:rPr>
      </w:pPr>
    </w:p>
    <w:p w14:paraId="719315A8" w14:textId="77777777" w:rsidR="00503D42" w:rsidRPr="00503D42" w:rsidRDefault="00503D42" w:rsidP="00503D42">
      <w:pPr>
        <w:spacing w:line="240" w:lineRule="auto"/>
        <w:rPr>
          <w:sz w:val="24"/>
          <w:szCs w:val="24"/>
          <w:lang w:val="de-DE"/>
        </w:rPr>
      </w:pPr>
      <w:r w:rsidRPr="00503D42">
        <w:rPr>
          <w:sz w:val="24"/>
          <w:szCs w:val="24"/>
          <w:lang w:val="de-DE"/>
        </w:rPr>
        <w:t>Wir machen Sie darauf aufmerksam, dass gem. Bauarbeitenverordnung eine Melde-pflicht für den Rückbau asbesthaltiger Materialien mit großem Faserfreisetzungs-Potenzial besteht. In der Regel wird diese Meldung direkt vom Sanierer vorgenommen. Asbesthaltiges Material muss bei LVA 17 06 05 doppelt staubdicht verpackt und bei 17 06 98 einfach verpackt, gekennzeichnet transportiert werden. Damit eine Freisetzung von Fasern verhindert wird. Die Entsorgung erfolgt ausschließlich in dafür zugelassenen Anlagen gemäß den Vorgaben der VVEA und interkantonaler Richtlinien.</w:t>
      </w:r>
    </w:p>
    <w:p w14:paraId="4D03314E" w14:textId="77777777" w:rsidR="00AE6983" w:rsidRPr="00503D42" w:rsidRDefault="00AE6983" w:rsidP="0047123B">
      <w:pPr>
        <w:spacing w:line="240" w:lineRule="auto"/>
        <w:rPr>
          <w:sz w:val="24"/>
          <w:szCs w:val="24"/>
          <w:lang w:val="de-DE"/>
        </w:rPr>
      </w:pPr>
    </w:p>
    <w:p>
      <w:pPr/>
      <w:r>
        <w:rPr>
          <w:sz w:val="24"/>
          <w:szCs w:val="24"/>
          <w:b w:val="1"/>
          <w:bCs w:val="1"/>
        </w:rPr>
        <w:t xml:space="preserve"/>
      </w:r>
      <w:r>
        <w:rPr>
          <w:sz w:val="24"/>
          <w:szCs w:val="24"/>
          <w:b w:val="1"/>
          <w:bCs w:val="1"/>
        </w:rPr>
        <w:t xml:space="preserve">Probe-ID 1: Zementrohr</w:t>
      </w:r>
      <w:r>
        <w:rPr>
          <w:sz w:val="24"/>
          <w:szCs w:val="24"/>
        </w:rPr>
        <w:t xml:space="preserve">  </w:t>
      </w:r>
      <w:br/>
      <w:r>
        <w:rPr>
          <w:sz w:val="24"/>
          <w:szCs w:val="24"/>
        </w:rPr>
        <w:t xml:space="preserve">Das Zementrohr (vermutlich mit Asbest) aus Map 7, Rückbau im Rahmen einer Schadstoffsanierung gemäss den Richtlinien 2116, muss mit dem LVA-Code 17 06 59 entsorgt werden.</w:t>
      </w:r>
      <w:br/>
      <w:r>
        <w:rPr>
          <w:sz w:val="24"/>
          <w:szCs w:val="24"/>
        </w:rPr>
        <w:t xml:space="preserve"/>
      </w:r>
      <w:br/>
      <w:r>
        <w:rPr>
          <w:sz w:val="24"/>
          <w:szCs w:val="24"/>
          <w:b w:val="1"/>
          <w:bCs w:val="1"/>
        </w:rPr>
        <w:t xml:space="preserve"/>
      </w:r>
      <w:r>
        <w:rPr>
          <w:sz w:val="24"/>
          <w:szCs w:val="24"/>
          <w:b w:val="1"/>
          <w:bCs w:val="1"/>
        </w:rPr>
        <w:t xml:space="preserve">Probe-ID 2: PCB-Fliesen</w:t>
      </w:r>
      <w:r>
        <w:rPr>
          <w:sz w:val="24"/>
          <w:szCs w:val="24"/>
        </w:rPr>
        <w:t xml:space="preserve">  </w:t>
      </w:r>
      <w:br/>
      <w:r>
        <w:rPr>
          <w:sz w:val="24"/>
          <w:szCs w:val="24"/>
        </w:rPr>
        <w:t xml:space="preserve">PCB-Fliesen aus Map 8 sind schadstoffbelastete Baustoffe, die durch einen Schadstoffsanierer sicher zurückgebaut werden müssen. Der Rückbau erfolgt unter der Richtlinie 2512 mit einer Kennzeichnung des LVA-Codes 17 09 03.</w:t>
      </w:r>
      <w:br/>
      <w:r>
        <w:rPr>
          <w:sz w:val="24"/>
          <w:szCs w:val="24"/>
        </w:rPr>
        <w:t xml:space="preserve"/>
      </w:r>
      <w:br/>
      <w:r>
        <w:rPr>
          <w:sz w:val="24"/>
          <w:szCs w:val="24"/>
          <w:b w:val="1"/>
          <w:bCs w:val="1"/>
        </w:rPr>
        <w:t xml:space="preserve"/>
      </w:r>
      <w:r>
        <w:rPr>
          <w:sz w:val="24"/>
          <w:szCs w:val="24"/>
          <w:b w:val="1"/>
          <w:bCs w:val="1"/>
        </w:rPr>
        <w:t xml:space="preserve">Probe-ID 14: Dichtungsmasse</w:t>
      </w:r>
      <w:r>
        <w:rPr>
          <w:sz w:val="24"/>
          <w:szCs w:val="24"/>
        </w:rPr>
        <w:t xml:space="preserve">  </w:t>
      </w:r>
      <w:br/>
      <w:r>
        <w:rPr>
          <w:sz w:val="24"/>
          <w:szCs w:val="24"/>
        </w:rPr>
        <w:t xml:space="preserve">Die PCB-belastete Dichtungsmasse aus Map 14, unterliegt einer Schadstoffsanierung, bei der die Richtlinien 2120 zu beachten sind. Diese Masse ist gemäss LVA-Code 08 04 10 zu entsorgen.</w:t>
      </w:r>
      <w:br/>
      <w:r>
        <w:rPr>
          <w:sz w:val="24"/>
          <w:szCs w:val="24"/>
        </w:rPr>
        <w:t xml:space="preserve"/>
      </w:r>
      <w:br/>
      <w:r>
        <w:rPr>
          <w:sz w:val="24"/>
          <w:szCs w:val="24"/>
          <w:b w:val="1"/>
          <w:bCs w:val="1"/>
        </w:rPr>
        <w:t xml:space="preserve"/>
      </w:r>
      <w:r>
        <w:rPr>
          <w:sz w:val="24"/>
          <w:szCs w:val="24"/>
          <w:b w:val="1"/>
          <w:bCs w:val="1"/>
        </w:rPr>
        <w:t xml:space="preserve">Probe-ID 15: Bleifarbe</w:t>
      </w:r>
      <w:r>
        <w:rPr>
          <w:sz w:val="24"/>
          <w:szCs w:val="24"/>
        </w:rPr>
        <w:t xml:space="preserve">  </w:t>
      </w:r>
      <w:br/>
      <w:r>
        <w:rPr>
          <w:sz w:val="24"/>
          <w:szCs w:val="24"/>
        </w:rPr>
        <w:t xml:space="preserve">Bleifarbe in Map 15 ist zur Beseitigung in einer Schadstoffsanierung vorgesehen, wobei die Richtlinie 2555 befolgt werden muss, mit dem LVA-Code 08 01 11.</w:t>
      </w:r>
      <w:br/>
      <w:r>
        <w:rPr>
          <w:sz w:val="24"/>
          <w:szCs w:val="24"/>
        </w:rPr>
        <w:t xml:space="preserve"/>
      </w:r>
      <w:br/>
      <w:r>
        <w:rPr>
          <w:sz w:val="24"/>
          <w:szCs w:val="24"/>
          <w:b w:val="1"/>
          <w:bCs w:val="1"/>
        </w:rPr>
        <w:t xml:space="preserve"/>
      </w:r>
      <w:r>
        <w:rPr>
          <w:sz w:val="24"/>
          <w:szCs w:val="24"/>
          <w:b w:val="1"/>
          <w:bCs w:val="1"/>
        </w:rPr>
        <w:t xml:space="preserve">Probe-ID 17: Faserzement</w:t>
      </w:r>
      <w:r>
        <w:rPr>
          <w:sz w:val="24"/>
          <w:szCs w:val="24"/>
        </w:rPr>
        <w:t xml:space="preserve">  </w:t>
      </w:r>
      <w:br/>
      <w:r>
        <w:rPr>
          <w:sz w:val="24"/>
          <w:szCs w:val="24"/>
        </w:rPr>
        <w:t xml:space="preserve">Faserzement aus Map 17 kann durch instruierte Handwerker unter Einhaltung der Richtlinien 33031 rückgebaut werden und ist mit dem LVA-Code 17 06 98nk in einer Deponie Typ B zu entsorgen.</w:t>
      </w:r>
      <w:br/>
      <w:r>
        <w:rPr>
          <w:sz w:val="24"/>
          <w:szCs w:val="24"/>
        </w:rPr>
        <w:t xml:space="preserve"/>
      </w:r>
      <w:br/>
      <w:r>
        <w:rPr>
          <w:sz w:val="24"/>
          <w:szCs w:val="24"/>
          <w:b w:val="1"/>
          <w:bCs w:val="1"/>
        </w:rPr>
        <w:t xml:space="preserve"/>
      </w:r>
      <w:r>
        <w:rPr>
          <w:sz w:val="24"/>
          <w:szCs w:val="24"/>
          <w:b w:val="1"/>
          <w:bCs w:val="1"/>
        </w:rPr>
        <w:t xml:space="preserve">Probe-ID 18: KMF</w:t>
      </w:r>
      <w:r>
        <w:rPr>
          <w:sz w:val="24"/>
          <w:szCs w:val="24"/>
        </w:rPr>
        <w:t xml:space="preserve">  </w:t>
      </w:r>
      <w:br/>
      <w:r>
        <w:rPr>
          <w:sz w:val="24"/>
          <w:szCs w:val="24"/>
        </w:rPr>
        <w:t xml:space="preserve">Der Ausbau von Künstlichen Mineralfasern (KMF) im Map 18 erfolgt durch instruierte Handwerker unter Beachtung der Richtlinien 33051. Diese Materialien sind mit dem LVA-Code 17 06 04 als nicht gefährlicher Abfall zu kategorisieren.</w:t>
      </w:r>
      <w:br/>
      <w:r>
        <w:rPr>
          <w:sz w:val="24"/>
          <w:szCs w:val="24"/>
        </w:rPr>
        <w:t xml:space="preserve"/>
      </w:r>
      <w:br/>
      <w:r>
        <w:rPr>
          <w:sz w:val="24"/>
          <w:szCs w:val="24"/>
          <w:b w:val="1"/>
          <w:bCs w:val="1"/>
        </w:rPr>
        <w:t xml:space="preserve"/>
      </w:r>
      <w:r>
        <w:rPr>
          <w:sz w:val="24"/>
          <w:szCs w:val="24"/>
          <w:b w:val="1"/>
          <w:bCs w:val="1"/>
        </w:rPr>
        <w:t xml:space="preserve">Probe-ID 21: Dämmstoff</w:t>
      </w:r>
      <w:r>
        <w:rPr>
          <w:sz w:val="24"/>
          <w:szCs w:val="24"/>
        </w:rPr>
        <w:t xml:space="preserve">  </w:t>
      </w:r>
      <w:br/>
      <w:r>
        <w:rPr>
          <w:sz w:val="24"/>
          <w:szCs w:val="24"/>
        </w:rPr>
        <w:t xml:space="preserve">Der Dämmstoff aus Map 21 kann nach den Richtlinien 33091 von geschultem Personal entfernt werden, die Entsorgung erfolgt gemäss dem LVA-Code 17 06 03.</w:t>
      </w:r>
      <w:br/>
      <w:r>
        <w:rPr>
          <w:sz w:val="24"/>
          <w:szCs w:val="24"/>
        </w:rPr>
        <w:t xml:space="preserve"/>
      </w:r>
      <w:br/>
      <w:r>
        <w:rPr>
          <w:sz w:val="24"/>
          <w:szCs w:val="24"/>
          <w:b w:val="1"/>
          <w:bCs w:val="1"/>
        </w:rPr>
        <w:t xml:space="preserve"/>
      </w:r>
      <w:r>
        <w:rPr>
          <w:sz w:val="24"/>
          <w:szCs w:val="24"/>
          <w:b w:val="1"/>
          <w:bCs w:val="1"/>
        </w:rPr>
        <w:t xml:space="preserve">Probe-ID 23: Asphalt</w:t>
      </w:r>
      <w:r>
        <w:rPr>
          <w:sz w:val="24"/>
          <w:szCs w:val="24"/>
        </w:rPr>
        <w:t xml:space="preserve">  </w:t>
      </w:r>
      <w:br/>
      <w:r>
        <w:rPr>
          <w:sz w:val="24"/>
          <w:szCs w:val="24"/>
        </w:rPr>
        <w:t xml:space="preserve">Asphaltbahnen im Map 23, die durch instruierte Handwerker beseitigt werden sollen, unterliegen der Richtlinie 33027 und fallen unter den LVA-Code 17 03 02.</w:t>
      </w:r>
      <w:br/>
    </w:p>
    <w:p w14:paraId="7A553631" w14:textId="043D9631" w:rsidR="00527FA2" w:rsidRPr="00835DB3" w:rsidRDefault="00527FA2" w:rsidP="00527FA2">
      <w:pPr>
        <w:spacing w:line="240" w:lineRule="auto"/>
        <w:rPr>
          <w:sz w:val="24"/>
          <w:szCs w:val="24"/>
          <w:lang w:val="de-CH"/>
        </w:rPr>
      </w:pPr>
      <w:r w:rsidRPr="00835DB3">
        <w:rPr>
          <w:sz w:val="24"/>
          <w:szCs w:val="24"/>
          <w:lang w:val="de-CH"/>
        </w:rPr>
        <w:t>Wir hoffen Ihnen hiermit einen klaren Überblick über die Schadstoff-Situation in Ihrem Projekt zu ge</w:t>
      </w:r>
      <w:r>
        <w:rPr>
          <w:sz w:val="24"/>
          <w:szCs w:val="24"/>
          <w:lang w:val="de-CH"/>
        </w:rPr>
        <w:t>währe</w:t>
      </w:r>
      <w:r w:rsidRPr="00835DB3">
        <w:rPr>
          <w:sz w:val="24"/>
          <w:szCs w:val="24"/>
          <w:lang w:val="de-CH"/>
        </w:rPr>
        <w:t>n und stehen für Rückfragen oder für die Koordination der nächsten Schritte gerne zur Verfügung</w:t>
      </w:r>
      <w:r>
        <w:rPr>
          <w:sz w:val="24"/>
          <w:szCs w:val="24"/>
          <w:lang w:val="de-CH"/>
        </w:rPr>
        <w:t>.</w:t>
      </w:r>
    </w:p>
    <w:p w14:paraId="5D954B69" w14:textId="2A4F9D43" w:rsidR="00223B3A" w:rsidRPr="00503D42" w:rsidRDefault="00527FA2" w:rsidP="00B63228">
      <w:pPr>
        <w:spacing w:line="240" w:lineRule="auto"/>
        <w:rPr>
          <w:sz w:val="24"/>
          <w:szCs w:val="24"/>
          <w:lang w:val="de-CH"/>
        </w:rPr>
        <w:sectPr w:rsidR="00223B3A" w:rsidRPr="00503D42" w:rsidSect="00AE5C05">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20" w:footer="720" w:gutter="0"/>
          <w:pgNumType w:start="1"/>
          <w:cols w:space="720"/>
          <w:titlePg/>
        </w:sectPr>
      </w:pPr>
      <w:r w:rsidRPr="00503D42">
        <w:rPr>
          <w:sz w:val="24"/>
          <w:szCs w:val="24"/>
          <w:lang w:val="de-CH"/>
        </w:rPr>
        <w:lastRenderedPageBreak/>
        <w:br/>
      </w:r>
      <w:r w:rsidR="0047123B" w:rsidRPr="00503D42">
        <w:rPr>
          <w:sz w:val="24"/>
          <w:szCs w:val="24"/>
          <w:lang w:val="de-CH"/>
        </w:rPr>
        <w:br/>
      </w:r>
      <w:r w:rsidRPr="00503D42">
        <w:rPr>
          <w:sz w:val="24"/>
          <w:szCs w:val="24"/>
          <w:lang w:val="de-CH"/>
        </w:rPr>
        <w:t/>
      </w:r>
      <w:r w:rsidR="0047123B" w:rsidRPr="00503D42">
        <w:rPr>
          <w:sz w:val="24"/>
          <w:szCs w:val="24"/>
          <w:lang w:val="de-CH"/>
        </w:rPr>
        <w:br/>
      </w:r>
      <w:r w:rsidR="0047123B" w:rsidRPr="00503D42">
        <w:rPr>
          <w:sz w:val="24"/>
          <w:szCs w:val="24"/>
          <w:lang w:val="de-CH"/>
        </w:rPr>
        <w:br/>
        <w:t>asbesttest.ch GmbH</w:t>
      </w:r>
      <w:r w:rsidR="0047123B" w:rsidRPr="00503D42">
        <w:rPr>
          <w:sz w:val="24"/>
          <w:szCs w:val="24"/>
          <w:lang w:val="de-CH"/>
        </w:rPr>
        <w:br/>
      </w:r>
      <w:bookmarkStart w:id="38" w:name="_1ksv4uv" w:colFirst="0" w:colLast="0"/>
      <w:bookmarkEnd w:id="0"/>
      <w:bookmarkEnd w:id="38"/>
      <w:r w:rsidR="00770296" w:rsidRPr="00503D42">
        <w:rPr>
          <w:sz w:val="24"/>
          <w:szCs w:val="24"/>
          <w:lang w:val="de-CH"/>
        </w:rPr>
        <w:t xml:space="preserve">Via </w:t>
      </w:r>
      <w:r w:rsidR="00503D42" w:rsidRPr="00503D42">
        <w:rPr>
          <w:sz w:val="24"/>
          <w:szCs w:val="24"/>
          <w:lang w:val="de-CH"/>
        </w:rPr>
        <w:t>da Mu</w:t>
      </w:r>
      <w:r w:rsidR="00503D42">
        <w:rPr>
          <w:sz w:val="24"/>
          <w:szCs w:val="24"/>
          <w:lang w:val="de-CH"/>
        </w:rPr>
        <w:t>nt 33</w:t>
      </w:r>
      <w:r w:rsidR="00770296" w:rsidRPr="00503D42">
        <w:rPr>
          <w:sz w:val="24"/>
          <w:szCs w:val="24"/>
          <w:lang w:val="de-CH"/>
        </w:rPr>
        <w:br/>
        <w:t>7013 Domat/Ems</w:t>
      </w:r>
    </w:p>
    <w:p w14:paraId="437ADC1A" w14:textId="77777777" w:rsidR="003568DE" w:rsidRPr="00FF365E" w:rsidRDefault="003568DE" w:rsidP="003568DE">
      <w:pPr>
        <w:spacing w:line="240" w:lineRule="auto"/>
        <w:rPr>
          <w:sz w:val="24"/>
          <w:szCs w:val="24"/>
        </w:rPr>
      </w:pPr>
      <w:bookmarkStart w:id="39" w:name="OLE_LINK2"/>
      <w:r w:rsidRPr="00FF365E">
        <w:rPr>
          <w:rFonts w:eastAsia="Calibri"/>
          <w:b/>
          <w:color w:val="2F5496"/>
          <w:sz w:val="32"/>
          <w:szCs w:val="32"/>
        </w:rPr>
        <w:lastRenderedPageBreak/>
        <w:t>Zusätzliche Beigaben</w:t>
      </w:r>
    </w:p>
    <w:p w14:paraId="5B5AACEE" w14:textId="77777777" w:rsidR="003568DE" w:rsidRPr="00FF365E" w:rsidRDefault="003568DE" w:rsidP="003568DE">
      <w:pPr>
        <w:spacing w:line="240" w:lineRule="auto"/>
        <w:rPr>
          <w:rFonts w:eastAsia="Calibri"/>
          <w:sz w:val="24"/>
          <w:szCs w:val="24"/>
        </w:rPr>
      </w:pPr>
    </w:p>
    <w:tbl>
      <w:tblGrid>
        <w:gridCol w:w="840" w:type="dxa"/>
        <w:gridCol w:w="1120" w:type="dxa"/>
        <w:gridCol w:w="700" w:type="dxa"/>
        <w:gridCol w:w="1120" w:type="dxa"/>
        <w:gridCol w:w="196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840" w:type="dxa"/>
            <w:shd w:val="clear" w:fill="67ffcb"/>
            <w:noWrap/>
          </w:tcPr>
          <w:p>
            <w:pPr/>
            <w:r>
              <w:rPr/>
              <w:t xml:space="preserve">Bezeichnung</w:t>
            </w:r>
          </w:p>
        </w:tc>
        <w:tc>
          <w:tcPr>
            <w:tcW w:w="1120" w:type="dxa"/>
            <w:shd w:val="clear" w:fill="67ffcb"/>
            <w:noWrap/>
          </w:tcPr>
          <w:p>
            <w:pPr/>
            <w:r>
              <w:rPr/>
              <w:t xml:space="preserve">Verdachtsmoment</w:t>
            </w:r>
          </w:p>
        </w:tc>
        <w:tc>
          <w:tcPr>
            <w:tcW w:w="700" w:type="dxa"/>
            <w:shd w:val="clear" w:fill="67ffcb"/>
            <w:noWrap/>
          </w:tcPr>
          <w:p>
            <w:pPr/>
            <w:r>
              <w:rPr/>
              <w:t xml:space="preserve">Fundort</w:t>
            </w:r>
          </w:p>
        </w:tc>
        <w:tc>
          <w:tcPr>
            <w:tcW w:w="1120" w:type="dxa"/>
            <w:shd w:val="clear" w:fill="67ffcb"/>
            <w:noWrap/>
          </w:tcPr>
          <w:p>
            <w:pPr/>
            <w:r>
              <w:rPr/>
              <w:t xml:space="preserve">Bemerkung</w:t>
            </w:r>
          </w:p>
        </w:tc>
        <w:tc>
          <w:tcPr>
            <w:tcW w:w="1960" w:type="dxa"/>
            <w:shd w:val="clear" w:fill="67ffcb"/>
            <w:noWrap/>
          </w:tcPr>
          <w:p>
            <w:pPr/>
            <w:r>
              <w:rPr/>
              <w:t xml:space="preserve">Überblick</w:t>
            </w:r>
          </w:p>
        </w:tc>
        <w:tc>
          <w:tcPr>
            <w:tcW w:w="1960" w:type="dxa"/>
            <w:shd w:val="clear" w:fill="67ffcb"/>
            <w:noWrap/>
          </w:tcPr>
          <w:p>
            <w:pPr/>
            <w:r>
              <w:rPr/>
              <w:t xml:space="preserve">Detail</w:t>
            </w:r>
          </w:p>
        </w:tc>
      </w:tr>
      <w:tr>
        <w:trPr/>
        <w:tc>
          <w:tcPr>
            <w:shd w:val="clear" w:fill="red"/>
            <w:noWrap/>
          </w:tcPr>
          <w:p>
            <w:pPr/>
            <w:r>
              <w:rPr/>
              <w:t xml:space="preserve">MaP-1</w:t>
            </w:r>
          </w:p>
        </w:tc>
        <w:tc>
          <w:tcPr>
            <w:shd w:val="clear" w:fill="red"/>
            <w:noWrap/>
          </w:tcPr>
          <w:p>
            <w:pPr/>
            <w:r>
              <w:rPr/>
              <w:t xml:space="preserve">Bad
</w:t>
            </w:r>
          </w:p>
          <w:p>
            <w:pPr/>
            <w:r>
              <w:rPr/>
              <w:t xml:space="preserve">OG
</w:t>
            </w:r>
          </w:p>
          <w:p>
            <w:pPr/>
            <w:r>
              <w:rPr/>
              <w:t xml:space="preserve">Wand
</w:t>
            </w:r>
          </w:p>
        </w:tc>
        <w:tc>
          <w:tcPr>
            <w:shd w:val="clear" w:fill="red"/>
            <w:noWrap/>
          </w:tcPr>
          <w:p>
            <w:pPr/>
            <w:r>
              <w:rPr/>
              <w:t xml:space="preserve">VM-1
</w:t>
            </w:r>
          </w:p>
          <w:p>
            <w:pPr/>
            <w:r>
              <w:rPr/>
              <w:t xml:space="preserve">Cushion Vinyl
</w:t>
            </w:r>
          </w:p>
          <w:p>
            <w:pPr/>
            <w:r>
              <w:rPr/>
              <w:t xml:space="preserve">Wand
</w:t>
            </w:r>
          </w:p>
        </w:tc>
        <w:tc>
          <w:tcPr>
            <w:shd w:val="clear" w:fill="red"/>
            <w:noWrap/>
          </w:tcPr>
          <w:p>
            <w:pPr/>
            <w:r>
              <w:rPr/>
              <w:t xml:space="preserve"/>
            </w:r>
          </w:p>
        </w:tc>
        <w:tc>
          <w:tcPr>
            <w:shd w:val="clear" w:fill="red"/>
            <w:noWrap/>
          </w:tcPr>
          <w:p>
            <w:pPr/>
            <w:r>
              <w:rPr/>
              <w:t xml:space="preserve"/>
              <w:pict>
                <v:shape type="#_x0000_t75" style="width:100px;height:150px" stroked="f" filled="f">
                  <v:imagedata r:id="rId21" o:title=""/>
                </v:shape>
              </w:pict>
              <w:t xml:space="preserve"/>
            </w:r>
          </w:p>
        </w:tc>
        <w:tc>
          <w:tcPr>
            <w:shd w:val="clear" w:fill="red"/>
            <w:noWrap/>
          </w:tcPr>
          <w:p>
            <w:pPr/>
            <w:r>
              <w:rPr/>
              <w:t xml:space="preserve"/>
              <w:pict>
                <v:shape type="#_x0000_t75" style="width:100px;height:150px" stroked="f" filled="f">
                  <v:imagedata r:id="rId22" o:title=""/>
                </v:shape>
              </w:pict>
              <w:t xml:space="preserve"/>
            </w:r>
          </w:p>
        </w:tc>
      </w:tr>
    </w:tbl>
    <w:p w14:paraId="32FE07C9" w14:textId="77777777" w:rsidR="009641C4" w:rsidRPr="00FF365E" w:rsidRDefault="009641C4">
      <w:pPr>
        <w:rPr>
          <w:sz w:val="24"/>
          <w:szCs w:val="24"/>
        </w:rPr>
      </w:pPr>
      <w:r w:rsidRPr="00FF365E">
        <w:rPr>
          <w:sz w:val="24"/>
          <w:szCs w:val="24"/>
        </w:rPr>
        <w:br w:type="page"/>
      </w:r>
    </w:p>
    <w:p w14:paraId="567D807C" w14:textId="77777777" w:rsidR="00AE5C05" w:rsidRPr="00FF365E" w:rsidRDefault="00223B3A" w:rsidP="00AE5C05">
      <w:pPr>
        <w:rPr>
          <w:sz w:val="24"/>
          <w:szCs w:val="24"/>
        </w:rPr>
        <w:sectPr w:rsidR="00AE5C05" w:rsidRPr="00FF365E" w:rsidSect="00223B3A">
          <w:headerReference w:type="first" r:id="rId13"/>
          <w:pgSz w:w="11909" w:h="16834"/>
          <w:pgMar w:top="306" w:right="306" w:bottom="306" w:left="306" w:header="720" w:footer="720" w:gutter="0"/>
          <w:pgNumType w:start="1"/>
          <w:cols w:space="720"/>
          <w:titlePg/>
        </w:sectPr>
      </w:pPr>
      <w:r w:rsidRPr="00FF365E">
        <w:rPr>
          <w:sz w:val="24"/>
          <w:szCs w:val="24"/>
        </w:rPr>
        <w:lastRenderedPageBreak/>
        <w:t/>
      </w:r>
      <w:bookmarkEnd w:id="39"/>
    </w:p>
    <w:p w14:paraId="27B7066A" w14:textId="77777777" w:rsidR="00D7736E" w:rsidRDefault="009C7A42">
      <w:pPr>
        <w:keepNext/>
        <w:keepLines/>
        <w:spacing w:before="240" w:after="240" w:line="240" w:lineRule="auto"/>
        <w:rPr>
          <w:sz w:val="26"/>
          <w:szCs w:val="26"/>
        </w:rPr>
      </w:pPr>
      <w:r w:rsidRPr="00FF365E">
        <w:rPr>
          <w:sz w:val="26"/>
          <w:szCs w:val="26"/>
        </w:rPr>
        <w:lastRenderedPageBreak/>
        <w:t/>
      </w:r>
      <w:r w:rsidR="00431D24" w:rsidRPr="00FF365E">
        <w:rPr>
          <w:sz w:val="26"/>
          <w:szCs w:val="26"/>
        </w:rPr>
        <w:t/>
      </w:r>
      <w:r w:rsidR="00122816" w:rsidRPr="00FF365E">
        <w:rPr>
          <w:sz w:val="26"/>
          <w:szCs w:val="26"/>
        </w:rPr>
        <w:t/>
      </w:r>
      <w:r w:rsidR="00B9537A" w:rsidRPr="00FF365E">
        <w:rPr>
          <w:sz w:val="26"/>
          <w:szCs w:val="26"/>
        </w:rPr>
        <w:t/>
      </w:r>
    </w:p>
    <w:p w14:paraId="6B00FD0D" w14:textId="77777777" w:rsidR="00AD5C91" w:rsidRDefault="00AD5C91">
      <w:pPr>
        <w:keepNext/>
        <w:keepLines/>
        <w:spacing w:before="240" w:after="240" w:line="240" w:lineRule="auto"/>
        <w:sectPr w:rsidR="00AD5C91" w:rsidSect="00EA79BB">
          <w:headerReference w:type="first" r:id="rId14"/>
          <w:pgSz w:w="16820" w:h="11900" w:orient="landscape"/>
          <w:pgMar w:top="306" w:right="306" w:bottom="306" w:left="306" w:header="720" w:footer="720" w:gutter="0"/>
          <w:pgNumType w:start="1"/>
          <w:cols w:space="720"/>
          <w:titlePg/>
          <w:docGrid w:linePitch="299"/>
        </w:sectPr>
      </w:pPr>
    </w:p>
    <w:p w14:paraId="1FF8C0CE" w14:textId="77777777" w:rsidR="00AD5C91" w:rsidRPr="00DC3009" w:rsidRDefault="00AD5C91" w:rsidP="00AD5C91">
      <w:pPr>
        <w:pStyle w:val="Textkrper"/>
        <w:rPr>
          <w:b/>
          <w:bCs/>
          <w:sz w:val="28"/>
          <w:szCs w:val="28"/>
        </w:rPr>
      </w:pPr>
      <w:r>
        <w:rPr>
          <w:b/>
          <w:bCs/>
          <w:sz w:val="28"/>
          <w:szCs w:val="28"/>
        </w:rPr>
        <w:lastRenderedPageBreak/>
        <w:t>ÜBERBLICK UNTERSUCHTE SCHADSTOFFE</w:t>
      </w:r>
    </w:p>
    <w:p w14:paraId="250953AA" w14:textId="77777777" w:rsidR="00AD5C91" w:rsidRPr="00E74202" w:rsidRDefault="00AD5C91" w:rsidP="00AD5C91">
      <w:pPr>
        <w:pStyle w:val="Textkrper"/>
        <w:rPr>
          <w:b/>
          <w:sz w:val="28"/>
          <w:szCs w:val="28"/>
        </w:rPr>
      </w:pPr>
      <w:bookmarkStart w:id="40" w:name="_Toc206386354"/>
      <w:r w:rsidRPr="00E74202">
        <w:rPr>
          <w:b/>
          <w:sz w:val="28"/>
          <w:szCs w:val="28"/>
        </w:rPr>
        <w:t>Asbest</w:t>
      </w:r>
      <w:bookmarkEnd w:id="40"/>
    </w:p>
    <w:p w14:paraId="71DB5667" w14:textId="77777777" w:rsidR="00AD5C91" w:rsidRPr="00054E92" w:rsidRDefault="00AD5C91" w:rsidP="00AD5C91">
      <w:pPr>
        <w:pStyle w:val="Textkrper"/>
        <w:rPr>
          <w:b/>
          <w:sz w:val="24"/>
        </w:rPr>
      </w:pPr>
      <w:bookmarkStart w:id="41" w:name="_Toc206386355"/>
      <w:r w:rsidRPr="00054E92">
        <w:rPr>
          <w:b/>
          <w:sz w:val="24"/>
        </w:rPr>
        <w:t>Material und Verwendung</w:t>
      </w:r>
      <w:bookmarkEnd w:id="41"/>
    </w:p>
    <w:p w14:paraId="068EAFB9" w14:textId="77777777" w:rsidR="00AD5C91" w:rsidRPr="00054E92" w:rsidRDefault="00AD5C91" w:rsidP="00AD5C91">
      <w:pPr>
        <w:pStyle w:val="Textkrper"/>
        <w:rPr>
          <w:sz w:val="24"/>
        </w:rPr>
      </w:pPr>
      <w:r w:rsidRPr="00054E92">
        <w:rPr>
          <w:sz w:val="24"/>
        </w:rPr>
        <w:t>Während langer Zeit wurde Asbest von der Menschheit geschätzt und für die verschiedensten Zwecke eingesetzt. Davon zeugen z.B. steinzeitliche Funde asbestverstärkter Tongefässe oder Asbestgewebe der alten Griechen und Römer. Grund für seine Beliebtheit dürften die Eigenschaften von Asbest sein. Es ist nicht brennbar, hitzebeständig, unempfindlich gegenüber einer Vielzahl von chemischen Verbindungen sowie gegen Fäulnis. Das Material weist sowohl eine geringe elektrische als auch eine geringe Wärmeleitfähigkeit auf, ist sehr elastisch und verfügt über eine grosse Zugfestigkeit.</w:t>
      </w:r>
    </w:p>
    <w:p w14:paraId="2AF7FAE4" w14:textId="77777777" w:rsidR="00AD5C91" w:rsidRPr="00054E92" w:rsidRDefault="00AD5C91" w:rsidP="00AD5C91">
      <w:pPr>
        <w:pStyle w:val="Textkrper"/>
        <w:rPr>
          <w:sz w:val="24"/>
        </w:rPr>
      </w:pPr>
      <w:r w:rsidRPr="00054E92">
        <w:rPr>
          <w:sz w:val="24"/>
        </w:rPr>
        <w:t>Asbest ist ein natürliches Material und entsteht während metamorphen Prozessen in der Erdkruste unter ganz bestimmten Bedingungen. Sein wichtigster Bestandteil ist Siliziumoxid (SiO</w:t>
      </w:r>
      <w:r w:rsidRPr="00054E92">
        <w:rPr>
          <w:sz w:val="24"/>
          <w:vertAlign w:val="subscript"/>
        </w:rPr>
        <w:t>4</w:t>
      </w:r>
      <w:r w:rsidRPr="00054E92">
        <w:rPr>
          <w:sz w:val="24"/>
        </w:rPr>
        <w:t>). Als wechselnde Bestandteile kommen Fe, Na, Ca, Mg, Al, und K vor. Aus deren unterschiedlicher Anwesenheit gehen die verschiedenen Asbestarten hervor. Häufig verwendet wurden insbesondere Chrysotil (Weissasbest), Amosit (Braunasbest), Krokydolit (Blauasbest) (Quelle: Vassella Brantschen, C., Schafer-Hayoz, M. 2005: Asbest im Haus. Bundesamt für Gesundheit BAG).</w:t>
      </w:r>
    </w:p>
    <w:p w14:paraId="0660B687" w14:textId="77777777" w:rsidR="00AD5C91" w:rsidRPr="000610A2" w:rsidRDefault="00AD5C91" w:rsidP="00AD5C91">
      <w:pPr>
        <w:autoSpaceDE w:val="0"/>
        <w:autoSpaceDN w:val="0"/>
        <w:adjustRightInd w:val="0"/>
        <w:spacing w:line="240" w:lineRule="auto"/>
        <w:rPr>
          <w:rFonts w:eastAsia="MS Mincho"/>
          <w:lang w:eastAsia="ja-JP"/>
        </w:rPr>
      </w:pPr>
      <w:r w:rsidRPr="00054E92">
        <w:rPr>
          <w:rFonts w:eastAsia="MS Mincho"/>
          <w:lang w:eastAsia="ja-JP"/>
        </w:rPr>
        <w:t xml:space="preserve">Bevor die Verwendung der natürlichen Fasern bei uns verboten wurde, war deren Einsatz weit verbreitet. So verwendete die Maschinen-, Elektro- und Fahrzeugindustrie Asbest für Dichtungen, Isolatoren und Bremsbeläge. Im Hochbau wurde Asbest unter anderem zur Wärmedämmung, als Elektroisolator oder als Brandschutz eingesetzt. Es diente aber auch der Verstärkung anderer Materialien oder wurde einfach so als Füllmaterial gebraucht. </w:t>
      </w:r>
      <w:r w:rsidRPr="00054E92">
        <w:rPr>
          <w:rFonts w:cs="TTBC18D670t00"/>
          <w:bCs/>
        </w:rPr>
        <w:t>Anwendungsbeispiele</w:t>
      </w:r>
      <w:r w:rsidRPr="00054E92">
        <w:rPr>
          <w:rFonts w:eastAsia="MS Mincho"/>
          <w:lang w:eastAsia="ja-JP"/>
        </w:rPr>
        <w:t xml:space="preserve"> sind Bodenbeläge, Asbestzement, Formelemente wie etwa Platten und Rohre („Eternit“), Leichtbauplatten oder Bitumenbahnen. Eingesetzt wurde Asbest vom Beginn des letzten Jahrhunderts bis zu seinem Verbot 1991 mit einem Boom zwischen 1950 und 1970 (Quellen: Linster W., Schmidt, A., Nowak, T. 1996: Asbest - Kompendium für Betroffene, Planer und Sanierer. Verlag C.F. Müller 1996; Poldervaart, P. 2006: Asbest: Ein Baustoff sorgt für Langzeitkosten. Schweizer Gemeinde 1/06).</w:t>
      </w:r>
    </w:p>
    <w:p w14:paraId="47470746" w14:textId="77777777" w:rsidR="00AD5C91" w:rsidRPr="00E74202" w:rsidRDefault="00AD5C91" w:rsidP="00AD5C91">
      <w:pPr>
        <w:pStyle w:val="Textkrper"/>
        <w:keepNext/>
      </w:pPr>
      <w:r w:rsidRPr="002271B1">
        <w:rPr>
          <w:noProof/>
        </w:rPr>
        <w:drawing>
          <wp:inline distT="0" distB="0" distL="0" distR="0" wp14:anchorId="4B356A4D" wp14:editId="5B3BEA3B">
            <wp:extent cx="4933950" cy="1514475"/>
            <wp:effectExtent l="0" t="0" r="0" b="9525"/>
            <wp:docPr id="1060711698"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33950" cy="1514475"/>
                    </a:xfrm>
                    <a:prstGeom prst="rect">
                      <a:avLst/>
                    </a:prstGeom>
                    <a:noFill/>
                    <a:ln>
                      <a:noFill/>
                    </a:ln>
                  </pic:spPr>
                </pic:pic>
              </a:graphicData>
            </a:graphic>
          </wp:inline>
        </w:drawing>
      </w:r>
    </w:p>
    <w:p w14:paraId="0AEEE50B" w14:textId="77777777" w:rsidR="00AD5C91" w:rsidRPr="00054E92" w:rsidRDefault="00AD5C91" w:rsidP="00AD5C91">
      <w:pPr>
        <w:pStyle w:val="Beschriftung"/>
        <w:rPr>
          <w:sz w:val="24"/>
          <w:szCs w:val="24"/>
        </w:rPr>
      </w:pPr>
      <w:bookmarkStart w:id="42" w:name="_Toc251228144"/>
      <w:bookmarkStart w:id="43" w:name="_Toc488050044"/>
      <w:r w:rsidRPr="00054E92">
        <w:rPr>
          <w:rStyle w:val="TextkrperZchn"/>
          <w:sz w:val="24"/>
        </w:rPr>
        <w:t>Chrysotil als: Beispiel einer Art von Asbestfasern</w:t>
      </w:r>
      <w:r w:rsidRPr="00054E92">
        <w:rPr>
          <w:sz w:val="24"/>
          <w:szCs w:val="24"/>
        </w:rPr>
        <w:t xml:space="preserve">: </w:t>
      </w:r>
      <w:r w:rsidRPr="00054E92">
        <w:rPr>
          <w:rStyle w:val="TextkrperZchn"/>
          <w:sz w:val="24"/>
        </w:rPr>
        <w:t>Links als Spaltfüllung, wie es in der Natur vorkommt. Unter starker Vergrösserung zeigt sich, dass die einzelnen Fasern oft aus zahlreichen Einzelfibrillen zusammengesetzt sind (Mitte). Rechts als Dichtungsschnur (Zopf), wie es z.B. in einer Rohrisolation verwendet wurde.</w:t>
      </w:r>
      <w:bookmarkEnd w:id="42"/>
      <w:bookmarkEnd w:id="43"/>
    </w:p>
    <w:p w14:paraId="09D59DF5" w14:textId="77777777" w:rsidR="00AD5C91" w:rsidRPr="00054E92" w:rsidRDefault="00AD5C91" w:rsidP="00AD5C91">
      <w:pPr>
        <w:autoSpaceDE w:val="0"/>
        <w:autoSpaceDN w:val="0"/>
        <w:adjustRightInd w:val="0"/>
        <w:spacing w:line="240" w:lineRule="auto"/>
        <w:rPr>
          <w:rFonts w:eastAsia="MS Mincho"/>
          <w:lang w:eastAsia="ja-JP"/>
        </w:rPr>
      </w:pPr>
      <w:r w:rsidRPr="00054E92">
        <w:rPr>
          <w:rFonts w:eastAsia="MS Mincho"/>
          <w:lang w:eastAsia="ja-JP"/>
        </w:rPr>
        <w:t xml:space="preserve">Wichtig ist die Unterteilung in fest- und schwachgebundene Asbestprodukte: </w:t>
      </w:r>
    </w:p>
    <w:p w14:paraId="63197401" w14:textId="77777777" w:rsidR="00AD5C91" w:rsidRPr="00054E92" w:rsidRDefault="00AD5C91" w:rsidP="00AD5C91">
      <w:pPr>
        <w:pStyle w:val="Textkrper"/>
        <w:spacing w:before="120"/>
        <w:rPr>
          <w:sz w:val="24"/>
        </w:rPr>
      </w:pPr>
      <w:r w:rsidRPr="00054E92">
        <w:rPr>
          <w:b/>
          <w:sz w:val="24"/>
        </w:rPr>
        <w:lastRenderedPageBreak/>
        <w:t>Festgebundene Asbestprodukte</w:t>
      </w:r>
      <w:r w:rsidRPr="00054E92">
        <w:rPr>
          <w:sz w:val="24"/>
        </w:rPr>
        <w:t xml:space="preserve"> sind Asbestverwendungsformen, bei denen eine erhöhte Asbestfaserfreisetzung nur bei mechanischer Einwirkung erfolgen kann. Die Materialien weisen in der Regel eine hohe Festigkeit auf. Mengenmässig am wichtigsten sind hier die Asbestzementprodukte wie Blumenkisten und andere Formwaren, Fassadenplatten, Wellplatten, Druck- und Kanalisationsrohre. Die Rohdichte dieser Produkte ist in der Regel grösser als 1400 kg/m</w:t>
      </w:r>
      <w:r w:rsidRPr="00054E92">
        <w:rPr>
          <w:sz w:val="24"/>
          <w:vertAlign w:val="superscript"/>
        </w:rPr>
        <w:t>3</w:t>
      </w:r>
      <w:r w:rsidRPr="00054E92">
        <w:rPr>
          <w:sz w:val="24"/>
        </w:rPr>
        <w:t xml:space="preserve">. </w:t>
      </w:r>
    </w:p>
    <w:p w14:paraId="62842673" w14:textId="77777777" w:rsidR="00AD5C91" w:rsidRPr="00054E92" w:rsidRDefault="00AD5C91" w:rsidP="00AD5C91">
      <w:pPr>
        <w:pStyle w:val="Textkrper"/>
        <w:rPr>
          <w:sz w:val="24"/>
        </w:rPr>
      </w:pPr>
      <w:r w:rsidRPr="00054E92">
        <w:rPr>
          <w:sz w:val="24"/>
        </w:rPr>
        <w:t>Weitere Asbestprodukte, die als festgebunden betrachtet werden können, sind u. a. Brems- und Kupplungsbeläge, Bodenbelagsplatten (Asbest in PVC-Matrix) sowie die sogenannten it-Dichtungen (Asbest im Gummiverbund).</w:t>
      </w:r>
    </w:p>
    <w:p w14:paraId="02C3ECB0" w14:textId="77777777" w:rsidR="00AD5C91" w:rsidRDefault="00AD5C91" w:rsidP="00AD5C91">
      <w:pPr>
        <w:pStyle w:val="Textkrper"/>
        <w:rPr>
          <w:sz w:val="24"/>
        </w:rPr>
      </w:pPr>
      <w:r w:rsidRPr="00054E92">
        <w:rPr>
          <w:sz w:val="24"/>
        </w:rPr>
        <w:t>Bei weit fortgeschrittener Verwitterung (z.B. bei Asbestzementen) oder anderen Alterungsprozessen (z.B. bei Dichtungsmaterialien) können die Verbundstrukturen teilweise oder ganz zerstört vorliegen, sodass eine erhöhte Asbestfaserfreisetzung bei normaler Nutzung nicht mehr ausgeschlossen werden kann.</w:t>
      </w:r>
    </w:p>
    <w:p w14:paraId="315BC66C" w14:textId="77777777" w:rsidR="00AD5C91" w:rsidRPr="00054E92" w:rsidRDefault="00AD5C91" w:rsidP="00AD5C91">
      <w:pPr>
        <w:pStyle w:val="Textkrper"/>
        <w:rPr>
          <w:sz w:val="24"/>
        </w:rPr>
      </w:pPr>
    </w:p>
    <w:p w14:paraId="28D7F6B4" w14:textId="77777777" w:rsidR="00AD5C91" w:rsidRPr="00054E92" w:rsidRDefault="00AD5C91" w:rsidP="00AD5C91">
      <w:pPr>
        <w:pStyle w:val="Textkrper"/>
        <w:rPr>
          <w:sz w:val="24"/>
        </w:rPr>
      </w:pPr>
      <w:r w:rsidRPr="00054E92">
        <w:rPr>
          <w:b/>
          <w:sz w:val="24"/>
        </w:rPr>
        <w:t>Schwachgebundene Asbestprodukte</w:t>
      </w:r>
      <w:r w:rsidRPr="00054E92">
        <w:rPr>
          <w:sz w:val="24"/>
        </w:rPr>
        <w:t xml:space="preserve"> sind Asbestverwendungsformen, bei denen eine erhöhte Asbestfaserfreisetzung schon bei geringer mechanischer Einwirkung erfolgen kann. Diese Materialien weisen in der Regel eine geringe Festigkeit auf und können mit einem spitzen Gegenstand leicht durchdrungen werden. Die Rohdichte dieser Materialien ist in der Regel kleiner als 1000 kg/m</w:t>
      </w:r>
      <w:r w:rsidRPr="00054E92">
        <w:rPr>
          <w:sz w:val="24"/>
          <w:vertAlign w:val="superscript"/>
        </w:rPr>
        <w:t>3</w:t>
      </w:r>
      <w:r w:rsidRPr="00054E92">
        <w:rPr>
          <w:sz w:val="24"/>
        </w:rPr>
        <w:t xml:space="preserve">. </w:t>
      </w:r>
    </w:p>
    <w:p w14:paraId="00201D3A" w14:textId="77777777" w:rsidR="00AD5C91" w:rsidRDefault="00AD5C91" w:rsidP="00AD5C91">
      <w:pPr>
        <w:pStyle w:val="Textkrper"/>
        <w:rPr>
          <w:sz w:val="24"/>
        </w:rPr>
      </w:pPr>
      <w:r w:rsidRPr="00054E92">
        <w:rPr>
          <w:sz w:val="24"/>
        </w:rPr>
        <w:t>Zu diesen Materialien gehören u. a. alle Verwendungsarten des Spritzasbestes, Asbestisolationen (z.B. an Stahlkonstruktionen, Lüftungskanälen innen und aussen, Blechdecken, Türzargen und Brandabschottungen) sowie Asbestschnüre, -zöpfe, -kissen, -pappen, -leichtplatten und Beschichtungen von Bodenbelägen („Cushion-Vinyl“-Beläge).</w:t>
      </w:r>
    </w:p>
    <w:p w14:paraId="6B0DF8A2" w14:textId="77777777" w:rsidR="00AD5C91" w:rsidRPr="00054E92" w:rsidRDefault="00AD5C91" w:rsidP="00AD5C91">
      <w:pPr>
        <w:pStyle w:val="Textkrper"/>
        <w:rPr>
          <w:sz w:val="24"/>
        </w:rPr>
      </w:pPr>
    </w:p>
    <w:p w14:paraId="12085265" w14:textId="77777777" w:rsidR="00AD5C91" w:rsidRDefault="00AD5C91" w:rsidP="00AD5C91">
      <w:pPr>
        <w:pStyle w:val="Textkrper"/>
        <w:rPr>
          <w:sz w:val="24"/>
        </w:rPr>
      </w:pPr>
      <w:r w:rsidRPr="00054E92">
        <w:rPr>
          <w:sz w:val="24"/>
        </w:rPr>
        <w:t>In einem Schulkreis der Stadt Zürich wurden 83 Schulobjekte auf Asbest hin überprüft. Die 555 analysierten Proben zeigten, dass Asbest nicht in allen Baumaterialien gleich häufig vorkommt. So enthielten praktisch sämtliche Faserzementprodukte Asbest. Bei leichten Platten waren um die 90 %, bei den Deckenplatten hingegen nur ca. 5 % belastet. Rohrisolationen auf Mörtelbasis waren zu einem knappen Drittel asbesthaltig, Rohrleitungsisolationen ungefähr zur Hälfte. Diese Zahlen dürfen aber lediglich als Hinweis betrachtet werden. Das Anwendungsspektrum von Asbest war dermassen gross, dass es unmöglich ist, Gebäudebeurteilungen anhand einer abschliessenden Liste vorzunehmen. Eine grosse Erfahrung ist notwendig und Laboranalysen verdächtiger Bauteile sind unumgänglich. Laut Roger Waeber vom Bundesamt für Gesundheit müssten in einem vollständigen Asbest-Kataster praktisch sämtliche vor 1991 erstellten Gebäude eingetragen werden. Gemäss Zahlen der Wirtschaft kämen die Kosten für einen solchen Kataster auf 7.3 Mia. CHF zu stehen, diejenigen für die Sanierung aller Gebäude auf 20 – 30 Mia. CHF.</w:t>
      </w:r>
    </w:p>
    <w:p w14:paraId="644DB200" w14:textId="77777777" w:rsidR="00AD5C91" w:rsidRDefault="00AD5C91" w:rsidP="00AD5C91">
      <w:pPr>
        <w:pStyle w:val="Textkrper"/>
        <w:rPr>
          <w:sz w:val="24"/>
        </w:rPr>
      </w:pPr>
    </w:p>
    <w:p w14:paraId="13B28484" w14:textId="77777777" w:rsidR="00AD5C91" w:rsidRPr="00054E92" w:rsidRDefault="00AD5C91" w:rsidP="00AD5C91">
      <w:pPr>
        <w:pStyle w:val="Textkrper"/>
        <w:rPr>
          <w:sz w:val="24"/>
        </w:rPr>
      </w:pPr>
    </w:p>
    <w:p w14:paraId="42927F9D" w14:textId="77777777" w:rsidR="00AD5C91" w:rsidRPr="00054E92" w:rsidRDefault="00AD5C91" w:rsidP="00AD5C91">
      <w:pPr>
        <w:pStyle w:val="Textkrper"/>
        <w:rPr>
          <w:b/>
          <w:color w:val="000000"/>
          <w:sz w:val="24"/>
        </w:rPr>
      </w:pPr>
      <w:bookmarkStart w:id="44" w:name="_Toc206386356"/>
      <w:r w:rsidRPr="00054E92">
        <w:rPr>
          <w:b/>
          <w:color w:val="000000"/>
          <w:sz w:val="24"/>
        </w:rPr>
        <w:t>Durch Asbest verursachte Krankheiten</w:t>
      </w:r>
      <w:bookmarkEnd w:id="44"/>
    </w:p>
    <w:p w14:paraId="093684B4" w14:textId="77777777" w:rsidR="00AD5C91" w:rsidRPr="00F97E7C" w:rsidRDefault="00AD5C91" w:rsidP="00AD5C91">
      <w:pPr>
        <w:pStyle w:val="Textkrper"/>
        <w:rPr>
          <w:sz w:val="24"/>
        </w:rPr>
      </w:pPr>
      <w:r w:rsidRPr="00054E92">
        <w:rPr>
          <w:sz w:val="24"/>
        </w:rPr>
        <w:lastRenderedPageBreak/>
        <w:t xml:space="preserve">Zurzeit werden vier verschiedene durch Asbest verursachte Krankheitsbilder unterschieden. Obwohl die öffentliche Diskussion über die Gefahren dieser Fasern und das damit verbundene weitgehende Verbot von Asbest erst in den letzten gut zehn Jahren stattfanden, wurden eine der Asbestkrankheiten bereits zu Beginn des letzten Jahrhunderts erkannt und beschrieben, nämlich die </w:t>
      </w:r>
      <w:r w:rsidRPr="00054E92">
        <w:rPr>
          <w:b/>
          <w:sz w:val="24"/>
        </w:rPr>
        <w:t>Asbestose</w:t>
      </w:r>
      <w:r w:rsidRPr="00054E92">
        <w:rPr>
          <w:sz w:val="24"/>
        </w:rPr>
        <w:t>. Diese ist eine durch jahrelange intensive Asbestexposition hervorgerufene Verhärtung des Lungengewebes. Symptome sind Reizhusten, Auswurf, Atemnot und damit verbunden Belastung der rechten Herzhälfte sowie eine entzündliche Verstopfung der Bronchien. Insbesondere früher wurde die Krankheit in Kombination mit einer Tuberkulose beobachtet. Im frühen Stadium und wenn die Asbestose nicht in Kombination mit Tuberkulose oder einer Verstopfung der Bronchien auftritt, ist die Krankheit teilweise therapierbar. Die Asbestose gilt als Berufskrankheit.</w:t>
      </w:r>
    </w:p>
    <w:p w14:paraId="0B8D98A1" w14:textId="77777777" w:rsidR="00AD5C91" w:rsidRPr="00054E92" w:rsidRDefault="00AD5C91" w:rsidP="00AD5C91">
      <w:pPr>
        <w:pStyle w:val="Textkrper"/>
        <w:rPr>
          <w:sz w:val="24"/>
        </w:rPr>
      </w:pPr>
      <w:r w:rsidRPr="00054E92">
        <w:rPr>
          <w:sz w:val="24"/>
        </w:rPr>
        <w:t>Eine zweite durch Asbeststaub verursachte Krankheit stellt die Verschwartung und Verwachsung des normalerweise hauchdünnen Brustfells dar (</w:t>
      </w:r>
      <w:r w:rsidRPr="00054E92">
        <w:rPr>
          <w:b/>
          <w:sz w:val="24"/>
        </w:rPr>
        <w:t>Pleuraplaques</w:t>
      </w:r>
      <w:r w:rsidRPr="00054E92">
        <w:rPr>
          <w:sz w:val="24"/>
        </w:rPr>
        <w:t>). Dabei handelt es sich, genauso wie bei der Asbestose, um so genannt gutartige Zellwucherungen, das heisst, sie entwickeln keinen krebsartigen Verlauf. Pleuraplaques stellen die häufigste durch Asbest verursachte Krankheit dar. Die gesundheitlichen Auswirkungen sind in der Regel nicht gravierend.</w:t>
      </w:r>
    </w:p>
    <w:p w14:paraId="5225048C" w14:textId="77777777" w:rsidR="00AD5C91" w:rsidRPr="000610A2" w:rsidRDefault="00AD5C91" w:rsidP="00AD5C91">
      <w:pPr>
        <w:pStyle w:val="Textkrper"/>
        <w:rPr>
          <w:sz w:val="24"/>
        </w:rPr>
      </w:pPr>
      <w:r w:rsidRPr="00054E92">
        <w:rPr>
          <w:sz w:val="24"/>
        </w:rPr>
        <w:t xml:space="preserve">Im Gegensatz dazu steht der durch Asbest verursachte </w:t>
      </w:r>
      <w:r w:rsidRPr="00054E92">
        <w:rPr>
          <w:b/>
          <w:sz w:val="24"/>
        </w:rPr>
        <w:t>Lungenkrebs</w:t>
      </w:r>
      <w:r w:rsidRPr="00054E92">
        <w:rPr>
          <w:sz w:val="24"/>
        </w:rPr>
        <w:t>, welcher zu den bösartigen Zellwucherungen gehört, mit der dazugehörenden Veränderung der Gewebe, der unkontrollierten Teilung der Zellen sowie der Bildung von Metastasen. Vom Asbestkontakt bis zum Ausbruch der Krankheit verstreichen oft viele Jahre. Die so genannte Latenzzeit dauert zwischen 8-55 Jahren. Lungenkrebs wurde früher nur dann als Berufskrankheit anerkannt, wenn er zusammen mit einer Asbestose auftrat. Nach der heute gültigen Regelung genügt eine Exposition von 25 Faserjahren.</w:t>
      </w:r>
    </w:p>
    <w:p w14:paraId="712C4134" w14:textId="77777777" w:rsidR="00AD5C91" w:rsidRDefault="00AD5C91" w:rsidP="00AD5C91">
      <w:pPr>
        <w:pStyle w:val="Textkrper"/>
        <w:rPr>
          <w:b/>
          <w:sz w:val="28"/>
          <w:szCs w:val="28"/>
        </w:rPr>
      </w:pPr>
      <w:r>
        <w:rPr>
          <w:b/>
          <w:sz w:val="28"/>
          <w:szCs w:val="28"/>
        </w:rPr>
        <w:t>PCB (Polychlorierte Biphenyle)</w:t>
      </w:r>
    </w:p>
    <w:p w14:paraId="49CE59A2" w14:textId="77777777" w:rsidR="00AD5C91" w:rsidRPr="00054E92" w:rsidRDefault="00AD5C91" w:rsidP="00AD5C91">
      <w:pPr>
        <w:pStyle w:val="Textkrper"/>
        <w:rPr>
          <w:sz w:val="24"/>
        </w:rPr>
      </w:pPr>
      <w:r w:rsidRPr="00054E92">
        <w:rPr>
          <w:sz w:val="24"/>
        </w:rPr>
        <w:t xml:space="preserve">Polychlorierte Biphenyle (PCB) wurden aufgrund ihrer günstigen chemischen Eigenschaften bis in die 1980er Jahre in einer Vielzahl von Materialien verwendet, unter anderem auch für Innenräume. In offenen Systemen wurden PCB bis Mitte der 1970er Jahre vor allem als Weichmacher in Fugen- und Dehnungsmassen sowie in Kitten und Klebstoffen eingesetzt. Hochbelastete Fugenmassen können PCB-Anteile von bis zu 40% aufweisen. In geschlossenen Systemen, z.B. in Kondensatoren und Transformatoren, kamen PCB noch bis Mitte 1980er Jahre zum Einsatz. </w:t>
      </w:r>
    </w:p>
    <w:p w14:paraId="0C516B81" w14:textId="77777777" w:rsidR="00AD5C91" w:rsidRPr="00054E92" w:rsidRDefault="00AD5C91" w:rsidP="00AD5C91">
      <w:pPr>
        <w:pStyle w:val="Textkrper"/>
        <w:rPr>
          <w:sz w:val="24"/>
        </w:rPr>
      </w:pPr>
      <w:r w:rsidRPr="00054E92">
        <w:rPr>
          <w:sz w:val="24"/>
        </w:rPr>
        <w:t>PCB werden hauptsächlich über die Nahrungskette und in geringerem Masse über die Luft aufgenommen. Sie lagern sich kumulativ im Körper an. Die akute Toxizität ist zwar gering, aber es sind verschiedene Langzeitwirkungen bekannt und wegen begründetem Verdacht auf krebserregendes Potential wurde PCB auch in die MAK-Liste III B (MAK = mittlere Arbeitsplatzkonzentration) aufgenommen.  (Quelle: KBOB 2004/4: PCB in Fugendichtungsmassen).</w:t>
      </w:r>
    </w:p>
    <w:p w14:paraId="2A95EA90" w14:textId="77777777" w:rsidR="00AD5C91" w:rsidRDefault="00AD5C91" w:rsidP="00AD5C91">
      <w:pPr>
        <w:pStyle w:val="Textkrper"/>
        <w:rPr>
          <w:b/>
          <w:sz w:val="24"/>
        </w:rPr>
      </w:pPr>
    </w:p>
    <w:p w14:paraId="545460B7" w14:textId="77777777" w:rsidR="00AD5C91" w:rsidRDefault="00AD5C91" w:rsidP="00AD5C91">
      <w:pPr>
        <w:pStyle w:val="Textkrper"/>
        <w:rPr>
          <w:b/>
          <w:sz w:val="24"/>
        </w:rPr>
      </w:pPr>
    </w:p>
    <w:p w14:paraId="440F347B" w14:textId="77777777" w:rsidR="00AD5C91" w:rsidRPr="00054E92" w:rsidRDefault="00AD5C91" w:rsidP="00AD5C91">
      <w:pPr>
        <w:pStyle w:val="Textkrper"/>
        <w:rPr>
          <w:b/>
          <w:sz w:val="24"/>
        </w:rPr>
      </w:pPr>
    </w:p>
    <w:p w14:paraId="165D3105" w14:textId="77777777" w:rsidR="00AD5C91" w:rsidRPr="00054E92" w:rsidRDefault="00AD5C91" w:rsidP="00AD5C91">
      <w:pPr>
        <w:pStyle w:val="Textkrper"/>
        <w:rPr>
          <w:b/>
          <w:sz w:val="24"/>
        </w:rPr>
      </w:pPr>
      <w:r w:rsidRPr="00054E92">
        <w:rPr>
          <w:b/>
          <w:sz w:val="24"/>
        </w:rPr>
        <w:t>Analyseverfahren und Grenzwerte</w:t>
      </w:r>
    </w:p>
    <w:p w14:paraId="102E5A98" w14:textId="77777777" w:rsidR="00AD5C91" w:rsidRPr="00054E92" w:rsidRDefault="00AD5C91" w:rsidP="00AD5C91">
      <w:pPr>
        <w:pStyle w:val="Textkrper"/>
        <w:rPr>
          <w:sz w:val="24"/>
        </w:rPr>
      </w:pPr>
      <w:r w:rsidRPr="00054E92">
        <w:rPr>
          <w:sz w:val="24"/>
        </w:rPr>
        <w:lastRenderedPageBreak/>
        <w:t xml:space="preserve">PCB sind synthetisch hergestellte Gemische </w:t>
      </w:r>
      <w:r w:rsidRPr="00054E92">
        <w:rPr>
          <w:b/>
          <w:sz w:val="24"/>
        </w:rPr>
        <w:t>chlorierter aromatischer Kohlenwasserstoffe.</w:t>
      </w:r>
      <w:r w:rsidRPr="00054E92">
        <w:rPr>
          <w:sz w:val="24"/>
        </w:rPr>
        <w:t xml:space="preserve"> In der Analyse werden von den 209 möglichen Einzelverbindungen sechs Leitsubstanzen (PCB-Nr. 28, 52, 101, 138, 153, 180) gemessen und gemäss Richtlinie BUWAL mit dem Faktor 5 multipliziert. Die Analyseresultate werden üblicherweise in der Einheit [mg/kg] oder [ppm] angegeben. </w:t>
      </w:r>
    </w:p>
    <w:p w14:paraId="5D564186" w14:textId="77777777" w:rsidR="00AD5C91" w:rsidRPr="00054E92" w:rsidRDefault="00AD5C91" w:rsidP="00AD5C91">
      <w:pPr>
        <w:pStyle w:val="Textkrper"/>
        <w:rPr>
          <w:sz w:val="24"/>
        </w:rPr>
      </w:pPr>
      <w:r w:rsidRPr="00054E92">
        <w:rPr>
          <w:sz w:val="24"/>
        </w:rPr>
        <w:t>Bei einem Wert &gt; 50 ppm müssen zusätzlich Innenraumluft-Messungen durchgeführt werden. Die geltenden Grenzwerte für die PCB-Konzentration im Jahresmittel in der Innenraumluft liegen für Tagesaufenthalt (8h/Tag) bei 6 µg/m</w:t>
      </w:r>
      <w:r w:rsidRPr="00054E92">
        <w:rPr>
          <w:sz w:val="24"/>
          <w:vertAlign w:val="superscript"/>
        </w:rPr>
        <w:t>3</w:t>
      </w:r>
      <w:r w:rsidRPr="00054E92">
        <w:rPr>
          <w:sz w:val="24"/>
        </w:rPr>
        <w:t xml:space="preserve"> und bei Daueraufenthalt bei 2 µg/m</w:t>
      </w:r>
      <w:r w:rsidRPr="00054E92">
        <w:rPr>
          <w:sz w:val="24"/>
          <w:vertAlign w:val="superscript"/>
        </w:rPr>
        <w:t>3</w:t>
      </w:r>
      <w:r w:rsidRPr="00054E92">
        <w:rPr>
          <w:sz w:val="24"/>
        </w:rPr>
        <w:t xml:space="preserve">. Bei einer Überschreitung der Grenzwerte sind zwingend Massnahmen zur Sanierung der betroffenen Räumlichkeiten zu ergreifen. </w:t>
      </w:r>
    </w:p>
    <w:p w14:paraId="511C9662" w14:textId="77777777" w:rsidR="00AD5C91" w:rsidRPr="000610A2" w:rsidRDefault="00AD5C91" w:rsidP="00AD5C91">
      <w:pPr>
        <w:spacing w:after="120"/>
        <w:rPr>
          <w:rFonts w:eastAsia="MS Mincho"/>
          <w:lang w:eastAsia="ja-JP"/>
        </w:rPr>
      </w:pPr>
      <w:r w:rsidRPr="00054E92">
        <w:rPr>
          <w:rFonts w:eastAsia="MS Mincho"/>
          <w:lang w:eastAsia="ja-JP"/>
        </w:rPr>
        <w:t>Bei einem Rückbau sind verdächtige Materialien, insbesondere Fugendichtungsmassen, vor Inangriffnahme der Arbeiten zu beproben. PCB-haltige Materialien (&gt;50 ppm) gelten als Sonderabfälle und sind gemäss Vorgaben der Verordnung über den Verkehr mit Abfällen (VeVA) zu entsorgen. Leicht PCB-haltige Materialien (&lt;50 ppm) dürfen in einer Kehrichtverbrennungsanlage entsorgt werden (Quellen: Krieg H.-U. 1993: PCB in Baustoffen und in der Raumluft – wann muss saniert werden? In: Innenraum-Belastungen: erkennen, bewerten, sanieren; Tremp J. et al. 2003: PCB-haltige Fugendichtungsmassen. Richtlinie aus der Reihe „Vollzug Umwelt“, herausgegeben vom Bundesamt für Umwelt, Wald und Landschaft BUWAL).</w:t>
      </w:r>
    </w:p>
    <w:p w14:paraId="50C20C3C" w14:textId="77777777" w:rsidR="00AD5C91" w:rsidRDefault="00AD5C91" w:rsidP="00AD5C91">
      <w:pPr>
        <w:pStyle w:val="Textkrper"/>
        <w:rPr>
          <w:b/>
          <w:sz w:val="28"/>
          <w:szCs w:val="28"/>
        </w:rPr>
      </w:pPr>
      <w:r>
        <w:rPr>
          <w:b/>
          <w:sz w:val="28"/>
          <w:szCs w:val="28"/>
        </w:rPr>
        <w:t>PAK (Polyzyklische aromatische Kohlenwasserstoffe)</w:t>
      </w:r>
    </w:p>
    <w:p w14:paraId="3F5C4372" w14:textId="77777777" w:rsidR="00AD5C91" w:rsidRPr="00054E92" w:rsidRDefault="00AD5C91" w:rsidP="00AD5C91">
      <w:pPr>
        <w:pStyle w:val="Textkrper"/>
        <w:rPr>
          <w:sz w:val="24"/>
        </w:rPr>
      </w:pPr>
      <w:r w:rsidRPr="00054E92">
        <w:rPr>
          <w:sz w:val="24"/>
        </w:rPr>
        <w:t>Zur Gruppe der polyzyklischen aromatischen Kohlenwasserstoffen (PAK) gehören sämtliche organische Verbindungen, welche aus mindestens zwei konjugierten Benzenringen (auch Benzolringe genannt) bestehen. Der einfachste PAK aus zwei Benzenringen heisst Naphthalin. Neben den Ringen können verschiedene Substituenten vorkommen. PAK entstehen bei unvollständigen Verbrennungsprozessen und sind Bestandteil höherer Erdölfraktionen, insbesondere von Teer. Durch die Verwendung von Teer für Baumaterialien sind PAK in der Bausubstanz mancher Gebäude zu finden. Bis vor wenigen Jahren wurde Teer z.B. als Klebstoff für Bodenbeläge aus Holz, in teergebundenen Korkmaterialien, für Dach- und Wandabdichtungen oder als Korrosionsschutzbeschichtung verwendet.</w:t>
      </w:r>
    </w:p>
    <w:p w14:paraId="51944A99" w14:textId="77777777" w:rsidR="00AD5C91" w:rsidRPr="008610A1" w:rsidRDefault="00AD5C91" w:rsidP="00AD5C91">
      <w:pPr>
        <w:pStyle w:val="Beschriftung"/>
        <w:rPr>
          <w:lang w:val="de-DE"/>
        </w:rPr>
      </w:pPr>
      <w:bookmarkStart w:id="45" w:name="_Ref246726610"/>
      <w:r w:rsidRPr="002271B1">
        <w:rPr>
          <w:noProof/>
          <w:lang w:eastAsia="de-CH"/>
        </w:rPr>
        <w:drawing>
          <wp:inline distT="0" distB="0" distL="0" distR="0" wp14:anchorId="2495C69B" wp14:editId="20F0F4BD">
            <wp:extent cx="619125" cy="361950"/>
            <wp:effectExtent l="0" t="0" r="9525" b="0"/>
            <wp:docPr id="491798725" name="Grafik 2" descr="2000px-Naphthalene_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3" descr="2000px-Naphthalene_sv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9125" cy="361950"/>
                    </a:xfrm>
                    <a:prstGeom prst="rect">
                      <a:avLst/>
                    </a:prstGeom>
                    <a:noFill/>
                    <a:ln>
                      <a:noFill/>
                    </a:ln>
                  </pic:spPr>
                </pic:pic>
              </a:graphicData>
            </a:graphic>
          </wp:inline>
        </w:drawing>
      </w:r>
      <w:r>
        <w:tab/>
      </w:r>
      <w:r>
        <w:tab/>
      </w:r>
      <w:r>
        <w:tab/>
      </w:r>
      <w:r w:rsidRPr="002271B1">
        <w:rPr>
          <w:noProof/>
          <w:lang w:eastAsia="de-CH"/>
        </w:rPr>
        <w:drawing>
          <wp:inline distT="0" distB="0" distL="0" distR="0" wp14:anchorId="56E9B4A0" wp14:editId="5971F9F6">
            <wp:extent cx="923925" cy="552450"/>
            <wp:effectExtent l="0" t="0" r="9525" b="0"/>
            <wp:docPr id="1497260373" name="Grafik 1" descr="Benzo-a-pyrene_oxid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64" descr="Benzo-a-pyrene_oxidatio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23925" cy="552450"/>
                    </a:xfrm>
                    <a:prstGeom prst="rect">
                      <a:avLst/>
                    </a:prstGeom>
                    <a:noFill/>
                    <a:ln>
                      <a:noFill/>
                    </a:ln>
                  </pic:spPr>
                </pic:pic>
              </a:graphicData>
            </a:graphic>
          </wp:inline>
        </w:drawing>
      </w:r>
      <w:r w:rsidRPr="008610A1">
        <w:rPr>
          <w:lang w:val="de-DE"/>
        </w:rPr>
        <w:t xml:space="preserve">   </w:t>
      </w:r>
      <w:r w:rsidRPr="008610A1">
        <w:t xml:space="preserve">    </w:t>
      </w:r>
    </w:p>
    <w:p w14:paraId="40FEB5C9" w14:textId="77777777" w:rsidR="00AD5C91" w:rsidRPr="00054E92" w:rsidRDefault="00AD5C91" w:rsidP="00AD5C91">
      <w:pPr>
        <w:pStyle w:val="Beschriftung"/>
        <w:rPr>
          <w:bCs w:val="0"/>
          <w:sz w:val="24"/>
          <w:szCs w:val="24"/>
        </w:rPr>
      </w:pPr>
      <w:bookmarkStart w:id="46" w:name="_Toc251228145"/>
      <w:bookmarkStart w:id="47" w:name="_Toc488050045"/>
      <w:bookmarkEnd w:id="45"/>
      <w:r w:rsidRPr="00054E92">
        <w:rPr>
          <w:bCs w:val="0"/>
          <w:sz w:val="24"/>
          <w:szCs w:val="24"/>
        </w:rPr>
        <w:t>Struktur von Naphthalin (links), dem einfachsten PAK sowie Benzo[a]pyren, der Leitsubstanz krebserregender PAKs.</w:t>
      </w:r>
      <w:bookmarkEnd w:id="46"/>
      <w:bookmarkEnd w:id="47"/>
    </w:p>
    <w:p w14:paraId="0690B092" w14:textId="77777777" w:rsidR="00AD5C91" w:rsidRPr="00054E92" w:rsidRDefault="00AD5C91" w:rsidP="00AD5C91">
      <w:pPr>
        <w:rPr>
          <w:rFonts w:eastAsia="MS Mincho"/>
          <w:lang w:eastAsia="ja-JP"/>
        </w:rPr>
      </w:pPr>
    </w:p>
    <w:p w14:paraId="77D28EA1" w14:textId="77777777" w:rsidR="00AD5C91" w:rsidRPr="000610A2" w:rsidRDefault="00AD5C91" w:rsidP="00AD5C91">
      <w:pPr>
        <w:rPr>
          <w:rFonts w:eastAsia="MS Mincho"/>
          <w:lang w:eastAsia="ja-JP"/>
        </w:rPr>
      </w:pPr>
      <w:r w:rsidRPr="00054E92">
        <w:rPr>
          <w:rFonts w:eastAsia="MS Mincho"/>
          <w:lang w:eastAsia="ja-JP"/>
        </w:rPr>
        <w:t xml:space="preserve">Von den über 100 verschiedenen PAK gelten zwölf als kanzerogen. Als Leitsubstanz dieser Stoffe wurde Benzo[a]pyren, ausgewählt. Materialien, welche mehr als 100 ppm davon enthalten, sind als krebserregend einzustufen. Der MAK-Wert für die Konzentration in der Luft beträgt 0.002 mg/m3. Ausserdem sind PAK zum Teil toxisch und fruchtschädigend. Die Aufnahme von PAK erfolgt über den Magen-Darmtrakt, über die Atemluft und über direkten Hautkontakt. Bei Abbrucharbeiten können PAK durch mechanische Einwirkung einerseits und durch Hitze andererseits in die Atemluft freigesetzt werden (Quellen: SuvaPro: Grenzwerte am </w:t>
      </w:r>
      <w:r w:rsidRPr="00054E92">
        <w:rPr>
          <w:rFonts w:eastAsia="MS Mincho"/>
          <w:lang w:eastAsia="ja-JP"/>
        </w:rPr>
        <w:lastRenderedPageBreak/>
        <w:t>Arbeitsplatz 2005; Waldinger, C. 2005: Teer, ein Material für viele Anwendungen, heute ein PAK Sanierungsfall.</w:t>
      </w:r>
    </w:p>
    <w:p w14:paraId="63B69C2A" w14:textId="77777777" w:rsidR="00AD5C91" w:rsidRDefault="00AD5C91" w:rsidP="00AD5C91">
      <w:pPr>
        <w:pStyle w:val="Textkrper"/>
        <w:rPr>
          <w:b/>
          <w:sz w:val="28"/>
          <w:szCs w:val="28"/>
        </w:rPr>
      </w:pPr>
      <w:r>
        <w:rPr>
          <w:b/>
          <w:sz w:val="28"/>
          <w:szCs w:val="28"/>
        </w:rPr>
        <w:t>Schwermetalle (Blei)</w:t>
      </w:r>
    </w:p>
    <w:p w14:paraId="6F91E3D4" w14:textId="77777777" w:rsidR="00AD5C91" w:rsidRPr="00054E92" w:rsidRDefault="00AD5C91" w:rsidP="00AD5C91">
      <w:pPr>
        <w:pStyle w:val="Textkrper"/>
        <w:rPr>
          <w:sz w:val="24"/>
        </w:rPr>
      </w:pPr>
      <w:r w:rsidRPr="00054E92">
        <w:rPr>
          <w:sz w:val="24"/>
        </w:rPr>
        <w:t xml:space="preserve">Schwermetalle sind Metalle mit einem hohen spezifischen Gewicht. Sie kommen natürlicherweise in den Gesteinen vor. Als Spurenelemente sind viele von ihnen lebenswichtig und ein Fehlen führt zu Mangelerscheinungen. Schwermetalle wirken jedoch ab bestimmten Konzentrationen toxisch, vor allem wenn es sich um organische Schwermetallverbindungen handelt. </w:t>
      </w:r>
    </w:p>
    <w:p w14:paraId="4ADE1D6C" w14:textId="77777777" w:rsidR="00AD5C91" w:rsidRPr="00054E92" w:rsidRDefault="00AD5C91" w:rsidP="00AD5C91">
      <w:pPr>
        <w:pStyle w:val="Textkrper"/>
        <w:rPr>
          <w:sz w:val="24"/>
        </w:rPr>
      </w:pPr>
      <w:r w:rsidRPr="00054E92">
        <w:rPr>
          <w:sz w:val="24"/>
        </w:rPr>
        <w:t xml:space="preserve">Schwermetalle werden in vielen Bereichen, zumeist aber für die Metallveredelung verwendet. Dadurch erhalten die ausgewählten Materialien spezielle Eigenschaften. Sie wurden oft, insbesondere Blei, als Farbpigmente in synthetischen Wandanstrichen eingesetzt. </w:t>
      </w:r>
    </w:p>
    <w:p w14:paraId="461B972B" w14:textId="77777777" w:rsidR="00AD5C91" w:rsidRPr="00054E92" w:rsidRDefault="00AD5C91" w:rsidP="00AD5C91">
      <w:pPr>
        <w:pStyle w:val="Textkrper"/>
        <w:rPr>
          <w:sz w:val="24"/>
        </w:rPr>
      </w:pPr>
      <w:r w:rsidRPr="00054E92">
        <w:rPr>
          <w:sz w:val="24"/>
        </w:rPr>
        <w:t xml:space="preserve">Blei findet sowohl in elementarer Form als auch in Form von organischen oder anorganischen Verbindungen oder in Legierungen Verwendung. </w:t>
      </w:r>
    </w:p>
    <w:p w14:paraId="2B832BC8" w14:textId="77777777" w:rsidR="00AD5C91" w:rsidRPr="000610A2" w:rsidRDefault="00AD5C91" w:rsidP="00AD5C91">
      <w:pPr>
        <w:pStyle w:val="Textkrper"/>
        <w:rPr>
          <w:sz w:val="24"/>
        </w:rPr>
      </w:pPr>
      <w:r w:rsidRPr="00054E92">
        <w:rPr>
          <w:sz w:val="24"/>
        </w:rPr>
        <w:t xml:space="preserve">Die Freisetzung von Blei in die Umwelt erfolgt sowohl auf natürlichem als auch auf anthropogenem Weg, meist von industriellen Verarbeitungsprozessen. Die Freisetzung erfolgt primär über die Luft. Das Blei wird in der Nähe der Quelle über Staubsedimentation und Niederschläge abgelagert. Dies führt zu Anreicherungen auf Oberflächen, in Böden und im Wasser. Unfachmännisches Abtragen von alten bleihaltigen Anstrichen oder unsachgemässer Umgang mit bleihaltigen Künstlerfarben kann ebenfalls zu einer Bleiexposition führen. Blei wird vom Körper aufgenommen, wenn es durch Verschlucken von bleibelasteter Nahrung in den Magen oder durch Einatmen von Staub in die Lungen gelangt. Das Ausmass der Aufnahme ist abhängig von der Partikelgrösse und von der Löslichkeit der Bleiverbindung, welche sehr unterschiedlich sein kann. Im Organismus greift Blei vor allem das Nervensystem an. Die Wirkungen reichen von neuropsychologischen Symptomen wie Müdigkeit, Reizbarkeit, Verlangsamung der Reaktion und verminderter Intelligenz bis hin zu irreparablen Hirnschäden, die zu Krämpfen, Koma und schliesslich zum Tod führen. </w:t>
      </w:r>
    </w:p>
    <w:p w14:paraId="6233655B" w14:textId="77777777" w:rsidR="00AD5C91" w:rsidRPr="00054E92" w:rsidRDefault="00AD5C91" w:rsidP="00AD5C91">
      <w:pPr>
        <w:pStyle w:val="Textkrper"/>
        <w:rPr>
          <w:b/>
          <w:bCs/>
          <w:sz w:val="24"/>
        </w:rPr>
      </w:pPr>
      <w:r w:rsidRPr="00054E92">
        <w:rPr>
          <w:b/>
          <w:bCs/>
          <w:sz w:val="24"/>
        </w:rPr>
        <w:t>Gesetzliche Grundlagen</w:t>
      </w:r>
    </w:p>
    <w:p w14:paraId="68C43BC2" w14:textId="77777777" w:rsidR="00AD5C91" w:rsidRPr="00054E92" w:rsidRDefault="00AD5C91" w:rsidP="00AD5C91">
      <w:pPr>
        <w:pStyle w:val="Textkrper"/>
        <w:rPr>
          <w:sz w:val="24"/>
        </w:rPr>
      </w:pPr>
      <w:r w:rsidRPr="00054E92">
        <w:rPr>
          <w:sz w:val="24"/>
        </w:rPr>
        <w:t>In der Schweiz wird der Umgang mit Blei durch verschiedene Gesetzgebungen geregelt. Bleiverbindungen sind in der EU und in der Schweiz als fortpflanzungsgefährdend und in einigen Fällen auch als krebserzeugend eingestuft. Die Chemikalien-Risikoreduktions-Verordnung (ChemRRV) verbietet die Abgabe solcher Stoffe oder Zubereitungen an die breite Öffentlichkeit. Von diesem Verbot ausgenommen sind Arzneimittel, Künstlerfarben und Motorentreibstoffe. Die ChemRRV legt überdies Grenzwerte für den Bleigehalt in Düngemitteln, Farben und Lacken (Massengehalt an Blei beträgt 0.01 % oder mehr), Akkumulatoren und Batterien, Verpackungen, Fahrzeugen, Elektrogeräten und Holzwerkstoffen fest. Am Arbeitsplatz wird die Exposition gegenüber anorganischen und organischen Bleiverbindungen durch Grenzwerte (MAK-Werte) geregelt.</w:t>
      </w:r>
    </w:p>
    <w:p w14:paraId="4EF01275" w14:textId="77777777" w:rsidR="00AD5C91" w:rsidRPr="00FF365E" w:rsidRDefault="00AD5C91">
      <w:pPr>
        <w:keepNext/>
        <w:keepLines/>
        <w:spacing w:before="240" w:after="240" w:line="240" w:lineRule="auto"/>
      </w:pPr>
    </w:p>
    <w:sectPr w:rsidR="00AD5C91" w:rsidRPr="00FF365E" w:rsidSect="00AD5C91">
      <w:headerReference w:type="default" r:id="rId18"/>
      <w:pgSz w:w="12240" w:h="15840"/>
      <w:pgMar w:top="1417" w:right="1417" w:bottom="113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5F5F2" w14:textId="77777777" w:rsidR="00D0625E" w:rsidRDefault="00D0625E">
      <w:pPr>
        <w:spacing w:line="240" w:lineRule="auto"/>
      </w:pPr>
      <w:r>
        <w:separator/>
      </w:r>
    </w:p>
  </w:endnote>
  <w:endnote w:type="continuationSeparator" w:id="0">
    <w:p w14:paraId="4BC96395" w14:textId="77777777" w:rsidR="00D0625E" w:rsidRDefault="00D062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TBC18D670t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0EC1" w14:textId="77777777" w:rsidR="00770296" w:rsidRDefault="0077029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6571E" w14:textId="77777777" w:rsidR="00770296" w:rsidRDefault="00770296">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7CEC5" w14:textId="77777777" w:rsidR="00770296" w:rsidRDefault="0077029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4C1E2" w14:textId="77777777" w:rsidR="00D0625E" w:rsidRDefault="00D0625E">
      <w:pPr>
        <w:spacing w:line="240" w:lineRule="auto"/>
      </w:pPr>
      <w:r>
        <w:separator/>
      </w:r>
    </w:p>
  </w:footnote>
  <w:footnote w:type="continuationSeparator" w:id="0">
    <w:p w14:paraId="0846801A" w14:textId="77777777" w:rsidR="00D0625E" w:rsidRDefault="00D0625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401C" w14:textId="77777777" w:rsidR="00770296" w:rsidRDefault="0077029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F45E" w14:textId="77777777" w:rsidR="00770296" w:rsidRDefault="0077029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E379" w14:textId="46BA3268" w:rsidR="00AE5C05" w:rsidRPr="00D4145D" w:rsidRDefault="00AE5C05">
    <w:pPr>
      <w:rPr>
        <w:lang w:val="it-IT"/>
      </w:rPr>
    </w:pPr>
    <w:r w:rsidRPr="00D4145D">
      <w:rPr>
        <w:lang w:val="it-IT"/>
      </w:rPr>
      <w:t>asbesttest.ch GmbH</w:t>
    </w:r>
    <w:r w:rsidRPr="00D4145D">
      <w:rPr>
        <w:lang w:val="it-IT"/>
      </w:rPr>
      <w:tab/>
    </w:r>
    <w:r w:rsidRPr="00D4145D">
      <w:rPr>
        <w:lang w:val="it-IT"/>
      </w:rPr>
      <w:tab/>
    </w:r>
    <w:r w:rsidRPr="00D4145D">
      <w:rPr>
        <w:lang w:val="it-IT"/>
      </w:rPr>
      <w:tab/>
    </w:r>
    <w:r w:rsidRPr="00D4145D">
      <w:rPr>
        <w:lang w:val="it-IT"/>
      </w:rPr>
      <w:tab/>
    </w:r>
    <w:r w:rsidRPr="00D4145D">
      <w:rPr>
        <w:lang w:val="it-IT"/>
      </w:rPr>
      <w:tab/>
    </w:r>
    <w:r w:rsidRPr="00D4145D">
      <w:rPr>
        <w:lang w:val="it-IT"/>
      </w:rPr>
      <w:tab/>
    </w:r>
    <w:r w:rsidRPr="00D4145D">
      <w:rPr>
        <w:lang w:val="it-IT"/>
      </w:rPr>
      <w:br/>
    </w:r>
    <w:r>
      <w:rPr>
        <w:noProof/>
      </w:rPr>
      <w:drawing>
        <wp:anchor distT="114300" distB="114300" distL="114300" distR="114300" simplePos="0" relativeHeight="251660288" behindDoc="0" locked="0" layoutInCell="1" hidden="0" allowOverlap="1" wp14:anchorId="2EE9E9D1" wp14:editId="5EBBBFAE">
          <wp:simplePos x="0" y="0"/>
          <wp:positionH relativeFrom="column">
            <wp:posOffset>3050931</wp:posOffset>
          </wp:positionH>
          <wp:positionV relativeFrom="paragraph">
            <wp:posOffset>-171449</wp:posOffset>
          </wp:positionV>
          <wp:extent cx="2778369" cy="571500"/>
          <wp:effectExtent l="0" t="0" r="0" b="0"/>
          <wp:wrapNone/>
          <wp:docPr id="93773046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78369" cy="571500"/>
                  </a:xfrm>
                  <a:prstGeom prst="rect">
                    <a:avLst/>
                  </a:prstGeom>
                  <a:ln/>
                </pic:spPr>
              </pic:pic>
            </a:graphicData>
          </a:graphic>
        </wp:anchor>
      </w:drawing>
    </w:r>
    <w:r w:rsidR="00770296" w:rsidRPr="00D4145D">
      <w:rPr>
        <w:lang w:val="it-IT"/>
      </w:rPr>
      <w:t xml:space="preserve">Via </w:t>
    </w:r>
    <w:r w:rsidR="00D4145D" w:rsidRPr="00D4145D">
      <w:rPr>
        <w:lang w:val="it-IT"/>
      </w:rPr>
      <w:t>da Mun</w:t>
    </w:r>
    <w:r w:rsidR="00D4145D">
      <w:rPr>
        <w:lang w:val="it-IT"/>
      </w:rPr>
      <w:t>t 33</w:t>
    </w:r>
    <w:r w:rsidR="00770296" w:rsidRPr="00D4145D">
      <w:rPr>
        <w:lang w:val="it-IT"/>
      </w:rPr>
      <w:br/>
      <w:t>7013 Domat/Ems</w:t>
    </w:r>
  </w:p>
  <w:p w14:paraId="29E29710" w14:textId="77777777" w:rsidR="0075688F" w:rsidRPr="00D4145D" w:rsidRDefault="0075688F">
    <w:pPr>
      <w:pStyle w:val="Kopfzeile"/>
      <w:rPr>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5E00" w14:textId="77777777" w:rsidR="00A76118" w:rsidRDefault="00A76118">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59C8" w14:textId="77777777" w:rsidR="004C7A30" w:rsidRDefault="004C7A30">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5E20D" w14:textId="77777777" w:rsidR="00AD5C91" w:rsidRPr="00DD0A0D" w:rsidRDefault="00AD5C91" w:rsidP="00DD0A0D">
    <w:pPr>
      <w:rPr>
        <w:lang w:val="it-IT"/>
      </w:rPr>
    </w:pP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br/>
    </w:r>
    <w:r>
      <w:rPr>
        <w:noProof/>
      </w:rPr>
      <w:drawing>
        <wp:anchor distT="114300" distB="114300" distL="114300" distR="114300" simplePos="0" relativeHeight="251662336" behindDoc="0" locked="0" layoutInCell="1" allowOverlap="1" wp14:anchorId="566211EE" wp14:editId="0B56C250">
          <wp:simplePos x="0" y="0"/>
          <wp:positionH relativeFrom="column">
            <wp:posOffset>3051175</wp:posOffset>
          </wp:positionH>
          <wp:positionV relativeFrom="paragraph">
            <wp:posOffset>-171450</wp:posOffset>
          </wp:positionV>
          <wp:extent cx="2778125" cy="571500"/>
          <wp:effectExtent l="0" t="0" r="3175" b="0"/>
          <wp:wrapNone/>
          <wp:docPr id="35114606"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8125" cy="571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6201"/>
    <w:multiLevelType w:val="hybridMultilevel"/>
    <w:tmpl w:val="227695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5575C19"/>
    <w:multiLevelType w:val="multilevel"/>
    <w:tmpl w:val="D878FAAA"/>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CCA2A8F"/>
    <w:multiLevelType w:val="multilevel"/>
    <w:tmpl w:val="C52CBA90"/>
    <w:lvl w:ilvl="0">
      <w:start w:val="1"/>
      <w:numFmt w:val="decimal"/>
      <w:lvlText w:val="%1"/>
      <w:lvlJc w:val="left"/>
      <w:pPr>
        <w:ind w:left="432" w:hanging="432"/>
      </w:pPr>
      <w:rPr>
        <w:b/>
        <w:bCs/>
        <w:color w:val="215868" w:themeColor="accent5" w:themeShade="80"/>
        <w:sz w:val="32"/>
        <w:szCs w:val="32"/>
        <w:u w:val="none"/>
      </w:rPr>
    </w:lvl>
    <w:lvl w:ilvl="1">
      <w:start w:val="1"/>
      <w:numFmt w:val="decimal"/>
      <w:lvlText w:val="%1.%2"/>
      <w:lvlJc w:val="left"/>
      <w:pPr>
        <w:ind w:left="576" w:hanging="576"/>
      </w:pPr>
      <w:rPr>
        <w:sz w:val="26"/>
        <w:szCs w:val="26"/>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3" w15:restartNumberingAfterBreak="0">
    <w:nsid w:val="277E3C9D"/>
    <w:multiLevelType w:val="multilevel"/>
    <w:tmpl w:val="D4020A8C"/>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4" w15:restartNumberingAfterBreak="0">
    <w:nsid w:val="3CD91F2B"/>
    <w:multiLevelType w:val="multilevel"/>
    <w:tmpl w:val="FE967D0E"/>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abstractNum w:abstractNumId="5" w15:restartNumberingAfterBreak="0">
    <w:nsid w:val="4FB34F1A"/>
    <w:multiLevelType w:val="multilevel"/>
    <w:tmpl w:val="A1780E4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6" w15:restartNumberingAfterBreak="0">
    <w:nsid w:val="528B5974"/>
    <w:multiLevelType w:val="multilevel"/>
    <w:tmpl w:val="21B6A84C"/>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7" w15:restartNumberingAfterBreak="0">
    <w:nsid w:val="626F79E2"/>
    <w:multiLevelType w:val="multilevel"/>
    <w:tmpl w:val="5CD27C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2B21349"/>
    <w:multiLevelType w:val="multilevel"/>
    <w:tmpl w:val="03BA6998"/>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9" w15:restartNumberingAfterBreak="0">
    <w:nsid w:val="66FB65B5"/>
    <w:multiLevelType w:val="multilevel"/>
    <w:tmpl w:val="5ED8ED82"/>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7C4A7A1C"/>
    <w:multiLevelType w:val="multilevel"/>
    <w:tmpl w:val="9C84035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1" w15:restartNumberingAfterBreak="0">
    <w:nsid w:val="7C6F7355"/>
    <w:multiLevelType w:val="multilevel"/>
    <w:tmpl w:val="B2E2064A"/>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num w:numId="1" w16cid:durableId="391389804">
    <w:abstractNumId w:val="8"/>
  </w:num>
  <w:num w:numId="2" w16cid:durableId="1529836759">
    <w:abstractNumId w:val="5"/>
  </w:num>
  <w:num w:numId="3" w16cid:durableId="450131810">
    <w:abstractNumId w:val="11"/>
  </w:num>
  <w:num w:numId="4" w16cid:durableId="1315834406">
    <w:abstractNumId w:val="1"/>
  </w:num>
  <w:num w:numId="5" w16cid:durableId="1698697349">
    <w:abstractNumId w:val="2"/>
  </w:num>
  <w:num w:numId="6" w16cid:durableId="1246719996">
    <w:abstractNumId w:val="10"/>
  </w:num>
  <w:num w:numId="7" w16cid:durableId="81143695">
    <w:abstractNumId w:val="4"/>
  </w:num>
  <w:num w:numId="8" w16cid:durableId="259604350">
    <w:abstractNumId w:val="9"/>
  </w:num>
  <w:num w:numId="9" w16cid:durableId="567418251">
    <w:abstractNumId w:val="6"/>
  </w:num>
  <w:num w:numId="10" w16cid:durableId="1549219126">
    <w:abstractNumId w:val="3"/>
  </w:num>
  <w:num w:numId="11" w16cid:durableId="193349481">
    <w:abstractNumId w:val="7"/>
  </w:num>
  <w:num w:numId="12" w16cid:durableId="404958661">
    <w:abstractNumId w:val="0"/>
  </w:num>
  <w:num w:numId="13" w16cid:durableId="1492913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6E"/>
    <w:rsid w:val="0000417A"/>
    <w:rsid w:val="00056C00"/>
    <w:rsid w:val="00085BEC"/>
    <w:rsid w:val="000A2F94"/>
    <w:rsid w:val="000D23C2"/>
    <w:rsid w:val="000D246B"/>
    <w:rsid w:val="000E72CC"/>
    <w:rsid w:val="001068E2"/>
    <w:rsid w:val="00122816"/>
    <w:rsid w:val="00165AE8"/>
    <w:rsid w:val="00181F78"/>
    <w:rsid w:val="00223B3A"/>
    <w:rsid w:val="00257F02"/>
    <w:rsid w:val="002932C6"/>
    <w:rsid w:val="002B42D3"/>
    <w:rsid w:val="00304F6F"/>
    <w:rsid w:val="00344240"/>
    <w:rsid w:val="003568DE"/>
    <w:rsid w:val="003736B9"/>
    <w:rsid w:val="00376336"/>
    <w:rsid w:val="00390225"/>
    <w:rsid w:val="00394E81"/>
    <w:rsid w:val="003E5C0D"/>
    <w:rsid w:val="00431D24"/>
    <w:rsid w:val="0047123B"/>
    <w:rsid w:val="004C7A30"/>
    <w:rsid w:val="004E1801"/>
    <w:rsid w:val="004E31ED"/>
    <w:rsid w:val="004F3F84"/>
    <w:rsid w:val="00503D42"/>
    <w:rsid w:val="0050786D"/>
    <w:rsid w:val="00517E33"/>
    <w:rsid w:val="00522EF7"/>
    <w:rsid w:val="00527FA2"/>
    <w:rsid w:val="00543DEA"/>
    <w:rsid w:val="00551206"/>
    <w:rsid w:val="00586ED7"/>
    <w:rsid w:val="005F42A5"/>
    <w:rsid w:val="0062329B"/>
    <w:rsid w:val="00643AB1"/>
    <w:rsid w:val="00647C0A"/>
    <w:rsid w:val="00651519"/>
    <w:rsid w:val="006D3C45"/>
    <w:rsid w:val="006F4B15"/>
    <w:rsid w:val="00706F97"/>
    <w:rsid w:val="0075688F"/>
    <w:rsid w:val="00770296"/>
    <w:rsid w:val="007F0642"/>
    <w:rsid w:val="00804CC6"/>
    <w:rsid w:val="00855FF7"/>
    <w:rsid w:val="008824DE"/>
    <w:rsid w:val="008A5A24"/>
    <w:rsid w:val="008B28FF"/>
    <w:rsid w:val="008D7176"/>
    <w:rsid w:val="00917F9D"/>
    <w:rsid w:val="0093157B"/>
    <w:rsid w:val="00952054"/>
    <w:rsid w:val="009641C4"/>
    <w:rsid w:val="00991B2D"/>
    <w:rsid w:val="009C7A42"/>
    <w:rsid w:val="009F38C7"/>
    <w:rsid w:val="00A40263"/>
    <w:rsid w:val="00A53CA1"/>
    <w:rsid w:val="00A76118"/>
    <w:rsid w:val="00A909DF"/>
    <w:rsid w:val="00A95013"/>
    <w:rsid w:val="00AD5C91"/>
    <w:rsid w:val="00AE5C05"/>
    <w:rsid w:val="00AE6983"/>
    <w:rsid w:val="00AF5023"/>
    <w:rsid w:val="00B34723"/>
    <w:rsid w:val="00B63228"/>
    <w:rsid w:val="00B9537A"/>
    <w:rsid w:val="00BA2833"/>
    <w:rsid w:val="00BA5493"/>
    <w:rsid w:val="00C327A4"/>
    <w:rsid w:val="00C408B2"/>
    <w:rsid w:val="00CE0139"/>
    <w:rsid w:val="00CE1D13"/>
    <w:rsid w:val="00D0625E"/>
    <w:rsid w:val="00D36D8B"/>
    <w:rsid w:val="00D4145D"/>
    <w:rsid w:val="00D7736E"/>
    <w:rsid w:val="00DC58A6"/>
    <w:rsid w:val="00DD43B4"/>
    <w:rsid w:val="00DF46CA"/>
    <w:rsid w:val="00E56CC1"/>
    <w:rsid w:val="00E72D44"/>
    <w:rsid w:val="00EA79BB"/>
    <w:rsid w:val="00EE2E4A"/>
    <w:rsid w:val="00F42374"/>
    <w:rsid w:val="00F9386E"/>
    <w:rsid w:val="00F944EA"/>
    <w:rsid w:val="00FE4C4B"/>
    <w:rsid w:val="00FF1DBE"/>
    <w:rsid w:val="00FF365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DBB2"/>
  <w15:docId w15:val="{BF061AB4-735C-48BA-B554-7A3B86D8B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00" w:after="120"/>
      <w:outlineLvl w:val="0"/>
    </w:pPr>
    <w:rPr>
      <w:sz w:val="40"/>
      <w:szCs w:val="40"/>
    </w:rPr>
  </w:style>
  <w:style w:type="paragraph" w:styleId="berschrift2">
    <w:name w:val="heading 2"/>
    <w:basedOn w:val="Standard"/>
    <w:next w:val="Standard"/>
    <w:link w:val="berschrift2Zchn"/>
    <w:uiPriority w:val="9"/>
    <w:unhideWhenUsed/>
    <w:qFormat/>
    <w:pPr>
      <w:keepNext/>
      <w:keepLines/>
      <w:spacing w:before="360" w:after="120"/>
      <w:outlineLvl w:val="1"/>
    </w:pPr>
    <w:rPr>
      <w:sz w:val="32"/>
      <w:szCs w:val="32"/>
    </w:rPr>
  </w:style>
  <w:style w:type="paragraph" w:styleId="berschrift3">
    <w:name w:val="heading 3"/>
    <w:basedOn w:val="Standard"/>
    <w:next w:val="Standard"/>
    <w:uiPriority w:val="9"/>
    <w:semiHidden/>
    <w:unhideWhenUsed/>
    <w:qFormat/>
    <w:pPr>
      <w:keepNext/>
      <w:keepLines/>
      <w:spacing w:before="320" w:after="80"/>
      <w:outlineLvl w:val="2"/>
    </w:pPr>
    <w:rPr>
      <w:color w:val="434343"/>
      <w:sz w:val="28"/>
      <w:szCs w:val="28"/>
    </w:rPr>
  </w:style>
  <w:style w:type="paragraph" w:styleId="berschrift4">
    <w:name w:val="heading 4"/>
    <w:basedOn w:val="Standard"/>
    <w:next w:val="Standard"/>
    <w:uiPriority w:val="9"/>
    <w:semiHidden/>
    <w:unhideWhenUsed/>
    <w:qFormat/>
    <w:pPr>
      <w:keepNext/>
      <w:keepLines/>
      <w:spacing w:before="280" w:after="80"/>
      <w:outlineLvl w:val="3"/>
    </w:pPr>
    <w:rPr>
      <w:color w:val="666666"/>
      <w:sz w:val="24"/>
      <w:szCs w:val="24"/>
    </w:rPr>
  </w:style>
  <w:style w:type="paragraph" w:styleId="berschrift5">
    <w:name w:val="heading 5"/>
    <w:basedOn w:val="Standard"/>
    <w:next w:val="Standard"/>
    <w:uiPriority w:val="9"/>
    <w:semiHidden/>
    <w:unhideWhenUsed/>
    <w:qFormat/>
    <w:pPr>
      <w:keepNext/>
      <w:keepLines/>
      <w:spacing w:before="240" w:after="80"/>
      <w:outlineLvl w:val="4"/>
    </w:pPr>
    <w:rPr>
      <w:color w:val="666666"/>
    </w:rPr>
  </w:style>
  <w:style w:type="paragraph" w:styleId="berschrift6">
    <w:name w:val="heading 6"/>
    <w:basedOn w:val="Standard"/>
    <w:next w:val="Standard"/>
    <w:uiPriority w:val="9"/>
    <w:semiHidden/>
    <w:unhideWhenUsed/>
    <w:qFormat/>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after="60"/>
    </w:pPr>
    <w:rPr>
      <w:sz w:val="52"/>
      <w:szCs w:val="52"/>
    </w:rPr>
  </w:style>
  <w:style w:type="paragraph" w:styleId="Untertitel">
    <w:name w:val="Subtitle"/>
    <w:basedOn w:val="Standard"/>
    <w:next w:val="Standard"/>
    <w:uiPriority w:val="11"/>
    <w:qFormat/>
    <w:pPr>
      <w:keepNext/>
      <w:keepLines/>
      <w:spacing w:after="320"/>
    </w:pPr>
    <w:rPr>
      <w:color w:val="666666"/>
      <w:sz w:val="30"/>
      <w:szCs w:val="30"/>
    </w:rPr>
  </w:style>
  <w:style w:type="table" w:customStyle="1" w:styleId="4">
    <w:name w:val="4"/>
    <w:basedOn w:val="NormaleTabelle"/>
    <w:tblPr>
      <w:tblStyleRowBandSize w:val="1"/>
      <w:tblStyleColBandSize w:val="1"/>
      <w:tblCellMar>
        <w:top w:w="100" w:type="dxa"/>
        <w:left w:w="100" w:type="dxa"/>
        <w:bottom w:w="100" w:type="dxa"/>
        <w:right w:w="100" w:type="dxa"/>
      </w:tblCellMar>
    </w:tblPr>
  </w:style>
  <w:style w:type="table" w:customStyle="1" w:styleId="3">
    <w:name w:val="3"/>
    <w:basedOn w:val="NormaleTabelle"/>
    <w:tblPr>
      <w:tblStyleRowBandSize w:val="1"/>
      <w:tblStyleColBandSize w:val="1"/>
      <w:tblCellMar>
        <w:top w:w="100" w:type="dxa"/>
        <w:left w:w="100" w:type="dxa"/>
        <w:bottom w:w="100" w:type="dxa"/>
        <w:right w:w="100" w:type="dxa"/>
      </w:tblCellMar>
    </w:tblPr>
  </w:style>
  <w:style w:type="table" w:customStyle="1" w:styleId="2">
    <w:name w:val="2"/>
    <w:basedOn w:val="NormaleTabelle"/>
    <w:tblPr>
      <w:tblStyleRowBandSize w:val="1"/>
      <w:tblStyleColBandSize w:val="1"/>
      <w:tblCellMar>
        <w:top w:w="100" w:type="dxa"/>
        <w:left w:w="100" w:type="dxa"/>
        <w:bottom w:w="100" w:type="dxa"/>
        <w:right w:w="100" w:type="dxa"/>
      </w:tblCellMar>
    </w:tblPr>
  </w:style>
  <w:style w:type="table" w:customStyle="1" w:styleId="1">
    <w:name w:val="1"/>
    <w:basedOn w:val="NormaleTabelle"/>
    <w:tblPr>
      <w:tblStyleRowBandSize w:val="1"/>
      <w:tblStyleColBandSize w:val="1"/>
    </w:tblPr>
  </w:style>
  <w:style w:type="character" w:customStyle="1" w:styleId="berschrift2Zchn">
    <w:name w:val="Überschrift 2 Zchn"/>
    <w:basedOn w:val="Absatz-Standardschriftart"/>
    <w:link w:val="berschrift2"/>
    <w:uiPriority w:val="9"/>
    <w:rsid w:val="0047123B"/>
    <w:rPr>
      <w:sz w:val="32"/>
      <w:szCs w:val="32"/>
    </w:rPr>
  </w:style>
  <w:style w:type="character" w:customStyle="1" w:styleId="berschrift1Zchn">
    <w:name w:val="Überschrift 1 Zchn"/>
    <w:basedOn w:val="Absatz-Standardschriftart"/>
    <w:link w:val="berschrift1"/>
    <w:uiPriority w:val="9"/>
    <w:rsid w:val="0047123B"/>
    <w:rPr>
      <w:sz w:val="40"/>
      <w:szCs w:val="40"/>
    </w:rPr>
  </w:style>
  <w:style w:type="paragraph" w:styleId="Kopfzeile">
    <w:name w:val="header"/>
    <w:basedOn w:val="Standard"/>
    <w:link w:val="KopfzeileZchn"/>
    <w:uiPriority w:val="99"/>
    <w:unhideWhenUsed/>
    <w:rsid w:val="009C7A42"/>
    <w:pPr>
      <w:tabs>
        <w:tab w:val="center" w:pos="4680"/>
        <w:tab w:val="right" w:pos="9360"/>
      </w:tabs>
      <w:spacing w:line="240" w:lineRule="auto"/>
    </w:pPr>
  </w:style>
  <w:style w:type="character" w:customStyle="1" w:styleId="KopfzeileZchn">
    <w:name w:val="Kopfzeile Zchn"/>
    <w:basedOn w:val="Absatz-Standardschriftart"/>
    <w:link w:val="Kopfzeile"/>
    <w:uiPriority w:val="99"/>
    <w:rsid w:val="009C7A42"/>
  </w:style>
  <w:style w:type="paragraph" w:styleId="Fuzeile">
    <w:name w:val="footer"/>
    <w:basedOn w:val="Standard"/>
    <w:link w:val="FuzeileZchn"/>
    <w:uiPriority w:val="99"/>
    <w:unhideWhenUsed/>
    <w:rsid w:val="009C7A42"/>
    <w:pPr>
      <w:tabs>
        <w:tab w:val="center" w:pos="4680"/>
        <w:tab w:val="right" w:pos="9360"/>
      </w:tabs>
      <w:spacing w:line="240" w:lineRule="auto"/>
    </w:pPr>
  </w:style>
  <w:style w:type="character" w:customStyle="1" w:styleId="FuzeileZchn">
    <w:name w:val="Fußzeile Zchn"/>
    <w:basedOn w:val="Absatz-Standardschriftart"/>
    <w:link w:val="Fuzeile"/>
    <w:uiPriority w:val="99"/>
    <w:rsid w:val="009C7A42"/>
  </w:style>
  <w:style w:type="paragraph" w:styleId="Listenabsatz">
    <w:name w:val="List Paragraph"/>
    <w:basedOn w:val="Standard"/>
    <w:uiPriority w:val="34"/>
    <w:qFormat/>
    <w:rsid w:val="00257F02"/>
    <w:pPr>
      <w:ind w:left="720"/>
      <w:contextualSpacing/>
    </w:pPr>
  </w:style>
  <w:style w:type="paragraph" w:styleId="Textkrper">
    <w:name w:val="Body Text"/>
    <w:aliases w:val="Char,Char + Kursiv"/>
    <w:basedOn w:val="Standard"/>
    <w:link w:val="TextkrperZchn"/>
    <w:uiPriority w:val="99"/>
    <w:rsid w:val="00AD5C91"/>
    <w:pPr>
      <w:spacing w:after="120" w:line="260" w:lineRule="atLeast"/>
    </w:pPr>
    <w:rPr>
      <w:rFonts w:eastAsia="MS Mincho" w:cs="Times New Roman"/>
      <w:sz w:val="20"/>
      <w:szCs w:val="24"/>
      <w:lang w:val="de-CH" w:eastAsia="ja-JP"/>
    </w:rPr>
  </w:style>
  <w:style w:type="character" w:customStyle="1" w:styleId="TextkrperZchn">
    <w:name w:val="Textkörper Zchn"/>
    <w:aliases w:val="Char Zchn,Char + Kursiv Zchn"/>
    <w:basedOn w:val="Absatz-Standardschriftart"/>
    <w:link w:val="Textkrper"/>
    <w:uiPriority w:val="99"/>
    <w:rsid w:val="00AD5C91"/>
    <w:rPr>
      <w:rFonts w:eastAsia="MS Mincho" w:cs="Times New Roman"/>
      <w:sz w:val="20"/>
      <w:szCs w:val="24"/>
      <w:lang w:val="de-CH" w:eastAsia="ja-JP"/>
    </w:rPr>
  </w:style>
  <w:style w:type="paragraph" w:styleId="Beschriftung">
    <w:name w:val="caption"/>
    <w:basedOn w:val="Standard"/>
    <w:next w:val="Textkrper"/>
    <w:link w:val="BeschriftungZchn"/>
    <w:uiPriority w:val="35"/>
    <w:qFormat/>
    <w:rsid w:val="00AD5C91"/>
    <w:pPr>
      <w:tabs>
        <w:tab w:val="left" w:pos="1134"/>
      </w:tabs>
      <w:spacing w:after="120" w:line="200" w:lineRule="atLeast"/>
      <w:ind w:left="1134" w:hanging="1134"/>
      <w:contextualSpacing/>
    </w:pPr>
    <w:rPr>
      <w:rFonts w:eastAsia="MS Mincho" w:cs="Times New Roman"/>
      <w:bCs/>
      <w:sz w:val="16"/>
      <w:szCs w:val="20"/>
      <w:lang w:val="de-CH" w:eastAsia="ja-JP"/>
    </w:rPr>
  </w:style>
  <w:style w:type="character" w:customStyle="1" w:styleId="BeschriftungZchn">
    <w:name w:val="Beschriftung Zchn"/>
    <w:link w:val="Beschriftung"/>
    <w:uiPriority w:val="35"/>
    <w:rsid w:val="00AD5C91"/>
    <w:rPr>
      <w:rFonts w:eastAsia="MS Mincho" w:cs="Times New Roman"/>
      <w:bCs/>
      <w:sz w:val="16"/>
      <w:szCs w:val="20"/>
      <w:lang w:val="de-CH"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2.emf"/><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1" Type="http://schemas.openxmlformats.org/officeDocument/2006/relationships/image" Target="media/image_rId21_document.jpeg"/><Relationship Id="rId22" Type="http://schemas.openxmlformats.org/officeDocument/2006/relationships/image" Target="media/image_rId22_document.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header6.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3092</Words>
  <Characters>21185</Characters>
  <Application>Microsoft Office Word</Application>
  <DocSecurity>0</DocSecurity>
  <Lines>353</Lines>
  <Paragraphs>70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Kallen</dc:creator>
  <cp:keywords/>
  <dc:description/>
  <cp:lastModifiedBy>Francesco Rausa</cp:lastModifiedBy>
  <cp:revision>2</cp:revision>
  <dcterms:created xsi:type="dcterms:W3CDTF">2026-01-27T14:59:00Z</dcterms:created>
  <dcterms:modified xsi:type="dcterms:W3CDTF">2026-01-27T14:59:00Z</dcterms:modified>
</cp:coreProperties>
</file>