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Dorfstrasse 6, Amden,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906</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Teiluntersuch Dach und Kellerboden</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Müller Andrea</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dorfstrasse 6</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Müller Andrea</w:t>
            </w:r>
            <w:bookmarkEnd w:id="12"/>
            <w:r w:rsidRPr="00FF365E">
              <w:rPr>
                <w:sz w:val="24"/>
                <w:szCs w:val="24"/>
                <w:lang w:val="en-GB"/>
              </w:rPr>
              <w:t xml:space="preserve"> </w:t>
            </w:r>
            <w:bookmarkStart w:id="13" w:name="OLE_LINK13"/>
            <w:r w:rsidRPr="00FF365E">
              <w:rPr>
                <w:sz w:val="24"/>
                <w:szCs w:val="24"/>
                <w:lang w:val="en-GB"/>
              </w:rPr>
              <w:t xml:space="preserve">dorfstrasse 6</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2026-05-11</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Daniel Santiago</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12 May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Material:</w:t>
      </w:r>
      <w:r>
        <w:rPr>
          <w:sz w:val="24"/>
          <w:szCs w:val="24"/>
        </w:rPr>
        <w:t xml:space="preserve"> Zement</w:t>
      </w:r>
      <w:br/>
      <w:r>
        <w:rPr>
          <w:sz w:val="24"/>
          <w:szCs w:val="24"/>
        </w:rPr>
        <w:t xml:space="preserve"/>
      </w:r>
      <w:br/>
      <w:r>
        <w:rPr>
          <w:sz w:val="24"/>
          <w:szCs w:val="24"/>
        </w:rPr>
        <w:t xml:space="preserve">Zement aus Map 01 kann durch instruierte Handwerker unter Einhaltung der Richtlinien 33031 rückgebaut werden und ist mit dem LVA Code 17 07 02 in einer Deponie Typ A zu entsorgen. Zement aus J5.3 kann jedoch ausschliesslich durch Schadstoffsanierer mit der Entsorgungsklasse DKS B2 gemäss Richtlinien 34990/1 behandelt werden und erfordert die Entsorgung als LVA Code 17 01 06.</w:t>
      </w:r>
      <w:br/>
      <w:r>
        <w:rPr>
          <w:sz w:val="24"/>
          <w:szCs w:val="24"/>
        </w:rPr>
        <w:t xml:space="preserve"/>
      </w:r>
      <w:br/>
      <w:r>
        <w:rPr>
          <w:sz w:val="24"/>
          <w:szCs w:val="24"/>
          <w:b w:val="1"/>
          <w:bCs w:val="1"/>
        </w:rPr>
        <w:t xml:space="preserve"/>
      </w:r>
      <w:r>
        <w:rPr>
          <w:sz w:val="24"/>
          <w:szCs w:val="24"/>
          <w:b w:val="1"/>
          <w:bCs w:val="1"/>
        </w:rPr>
        <w:t xml:space="preserve">Material:</w:t>
      </w:r>
      <w:r>
        <w:rPr>
          <w:sz w:val="24"/>
          <w:szCs w:val="24"/>
        </w:rPr>
        <w:t xml:space="preserve"> Ashalt</w:t>
      </w:r>
      <w:br/>
      <w:r>
        <w:rPr>
          <w:sz w:val="24"/>
          <w:szCs w:val="24"/>
        </w:rPr>
        <w:t xml:space="preserve"/>
      </w:r>
      <w:br/>
      <w:r>
        <w:rPr>
          <w:sz w:val="24"/>
          <w:szCs w:val="24"/>
        </w:rPr>
        <w:t xml:space="preserve">Ashalt aus J5.5 muss durch einen Schadstoffsanierer gemäss den Richtlinien 34990/1 rückgebaut werden und besitzt den LVA Code 17 03 02. In beiden Fällen ist eine professionelle Handhabung notwendig aufgrund der speziellen Anforderungen und Sicherheitsmasnahmen.</w:t>
      </w:r>
      <w:br/>
      <w:r>
        <w:rPr>
          <w:sz w:val="24"/>
          <w:szCs w:val="24"/>
        </w:rPr>
        <w:t xml:space="preserve"/>
      </w:r>
      <w:br/>
      <w:r>
        <w:rPr>
          <w:sz w:val="24"/>
          <w:szCs w:val="24"/>
          <w:b w:val="1"/>
          <w:bCs w:val="1"/>
        </w:rPr>
        <w:t xml:space="preserve"/>
      </w:r>
      <w:r>
        <w:rPr>
          <w:sz w:val="24"/>
          <w:szCs w:val="24"/>
          <w:b w:val="1"/>
          <w:bCs w:val="1"/>
        </w:rPr>
        <w:t xml:space="preserve">Material:</w:t>
      </w:r>
      <w:r>
        <w:rPr>
          <w:sz w:val="24"/>
          <w:szCs w:val="24"/>
        </w:rPr>
        <w:t xml:space="preserve"> Faserzement</w:t>
      </w:r>
      <w:br/>
      <w:r>
        <w:rPr>
          <w:sz w:val="24"/>
          <w:szCs w:val="24"/>
        </w:rPr>
        <w:t xml:space="preserve"/>
      </w:r>
      <w:br/>
      <w:r>
        <w:rPr>
          <w:sz w:val="24"/>
          <w:szCs w:val="24"/>
        </w:rPr>
        <w:t xml:space="preserve">Faserzement aus Map 17 kann durch instruierte Handwerker unter Einhaltung der Richtlinien 33031 rückgebaut werden und ist mit dem LVA Code 17 06 98nk in einer Deponie Typ B zu entsorgen. In anderen Fällen, wie bei einem Faserzement mit Probe-ID Map 14, ist der Einsatz von Schadstoffsanierern gemäss Richtlinien 34990/1 erforderlich.</w:t>
      </w:r>
      <w:br/>
      <w:r>
        <w:rPr>
          <w:sz w:val="24"/>
          <w:szCs w:val="24"/>
        </w:rPr>
        <w:t xml:space="preserve"/>
      </w:r>
      <w:br/>
      <w:r>
        <w:rPr>
          <w:sz w:val="24"/>
          <w:szCs w:val="24"/>
          <w:b w:val="1"/>
          <w:bCs w:val="1"/>
        </w:rPr>
        <w:t xml:space="preserve"/>
      </w:r>
      <w:r>
        <w:rPr>
          <w:sz w:val="24"/>
          <w:szCs w:val="24"/>
          <w:b w:val="1"/>
          <w:bCs w:val="1"/>
        </w:rPr>
        <w:t xml:space="preserve">Material:</w:t>
      </w:r>
      <w:r>
        <w:rPr>
          <w:sz w:val="24"/>
          <w:szCs w:val="24"/>
        </w:rPr>
        <w:t xml:space="preserve"> Kunststoffe </w:t>
      </w:r>
      <w:br/>
      <w:r>
        <w:rPr>
          <w:sz w:val="24"/>
          <w:szCs w:val="24"/>
        </w:rPr>
        <w:t xml:space="preserve"/>
      </w:r>
      <w:br/>
      <w:r>
        <w:rPr>
          <w:sz w:val="24"/>
          <w:szCs w:val="24"/>
        </w:rPr>
        <w:t xml:space="preserve">Kunststoffe mit der Probe-ID J7.8b müssen durch speziell instruierte Handwerker unter Einhaltung der Richtlinien 33031 entsorgt werden und sind als LVA Code 17 02 03 in einer Deponie Typ A zu klassifizieren. Dies unterscheidet sich von Kunststoffen im Bereich der Schadstoffsanierung, wo ein spezifischer Sanierer notwendig ist.</w:t>
      </w:r>
      <w:br/>
      <w:r>
        <w:rPr>
          <w:sz w:val="24"/>
          <w:szCs w:val="24"/>
        </w:rPr>
        <w:t xml:space="preserve"/>
      </w:r>
      <w:br/>
      <w:r>
        <w:rPr>
          <w:sz w:val="24"/>
          <w:szCs w:val="24"/>
          <w:b w:val="1"/>
          <w:bCs w:val="1"/>
        </w:rPr>
        <w:t xml:space="preserve"/>
      </w:r>
      <w:r>
        <w:rPr>
          <w:sz w:val="24"/>
          <w:szCs w:val="24"/>
          <w:b w:val="1"/>
          <w:bCs w:val="1"/>
        </w:rPr>
        <w:t xml:space="preserve">Material:</w:t>
      </w:r>
      <w:r>
        <w:rPr>
          <w:sz w:val="24"/>
          <w:szCs w:val="24"/>
        </w:rPr>
        <w:t xml:space="preserve"> Baustoffe**</w:t>
      </w:r>
      <w:br/>
      <w:r>
        <w:rPr>
          <w:sz w:val="24"/>
          <w:szCs w:val="24"/>
        </w:rPr>
        <w:t xml:space="preserve"/>
      </w:r>
      <w:br/>
      <w:r>
        <w:rPr>
          <w:sz w:val="24"/>
          <w:szCs w:val="24"/>
        </w:rPr>
        <w:t xml:space="preserve">Baustoffe mit der Probe-ID 3rd_12s fielen unter die Richtlinie 33031 und müssen durch instruierte Handwerker entsorgt werden, wobei der LVA Code 17 09 04 gilt. Sie bedürfen besonderer Vorsicht beim Rückbau, wie es bei kontaminierten Materialien der Fall ist.</w:t>
      </w:r>
      <w:br/>
      <w:r>
        <w:rPr>
          <w:sz w:val="24"/>
          <w:szCs w:val="24"/>
        </w:rPr>
        <w:t xml:space="preserve"/>
      </w:r>
      <w:br/>
      <w:r>
        <w:rPr>
          <w:sz w:val="24"/>
          <w:szCs w:val="24"/>
          <w:b w:val="1"/>
          <w:bCs w:val="1"/>
        </w:rPr>
        <w:t xml:space="preserve"/>
      </w:r>
      <w:r>
        <w:rPr>
          <w:sz w:val="24"/>
          <w:szCs w:val="24"/>
          <w:b w:val="1"/>
          <w:bCs w:val="1"/>
        </w:rPr>
        <w:t xml:space="preserve">Material:</w:t>
      </w:r>
      <w:r>
        <w:rPr>
          <w:sz w:val="24"/>
          <w:szCs w:val="24"/>
        </w:rPr>
        <w:t xml:space="preserve"> Minerale</w:t>
      </w:r>
      <w:br/>
      <w:r>
        <w:rPr>
          <w:sz w:val="24"/>
          <w:szCs w:val="24"/>
        </w:rPr>
        <w:t xml:space="preserve"/>
      </w:r>
      <w:br/>
      <w:r>
        <w:rPr>
          <w:sz w:val="24"/>
          <w:szCs w:val="24"/>
        </w:rPr>
        <w:t xml:space="preserve">Für Minerale, die der Probe-ID M21_4 zugeordnet sind, ist die Verwendung von Schadstoffsanierern unter Beachtung der Richtlinien 34990/1 vorgeschrieben, und sie müssen als LVA Code 17 05 99 entsorgt werden. Dies erfordert spezialisierte Ausrüstung und Fachkenntnisse.</w:t>
      </w:r>
      <w:br/>
      <w:r>
        <w:rPr>
          <w:sz w:val="24"/>
          <w:szCs w:val="24"/>
        </w:rPr>
        <w:t xml:space="preserve"/>
      </w:r>
      <w:br/>
      <w:r>
        <w:rPr>
          <w:sz w:val="24"/>
          <w:szCs w:val="24"/>
          <w:b w:val="1"/>
          <w:bCs w:val="1"/>
        </w:rPr>
        <w:t xml:space="preserve"/>
      </w:r>
      <w:r>
        <w:rPr>
          <w:sz w:val="24"/>
          <w:szCs w:val="24"/>
          <w:b w:val="1"/>
          <w:bCs w:val="1"/>
        </w:rPr>
        <w:t xml:space="preserve">Material:</w:t>
      </w:r>
      <w:r>
        <w:rPr>
          <w:sz w:val="24"/>
          <w:szCs w:val="24"/>
        </w:rPr>
        <w:t xml:space="preserve"> Keramiken</w:t>
      </w:r>
      <w:br/>
      <w:r>
        <w:rPr>
          <w:sz w:val="24"/>
          <w:szCs w:val="24"/>
        </w:rPr>
        <w:t xml:space="preserve"/>
      </w:r>
      <w:br/>
      <w:r>
        <w:rPr>
          <w:sz w:val="24"/>
          <w:szCs w:val="24"/>
        </w:rPr>
        <w:t xml:space="preserve">Für Keramiken, die im Bereich der sanierungspflichtigen Materialien fallen, ist der Einsatz von Schadstoffsanierern, die in Übereinstimmung mit Richtlinien 34990/1 arbeiten, notwendig. Ein Verweis auf den LVA Code 17 01 03 ist nachzurfolgen.</w:t>
      </w:r>
      <w:br/>
      <w:r>
        <w:rPr>
          <w:sz w:val="24"/>
          <w:szCs w:val="24"/>
        </w:rPr>
        <w:t xml:space="preserve"/>
      </w:r>
      <w:br/>
      <w:r>
        <w:rPr>
          <w:sz w:val="24"/>
          <w:szCs w:val="24"/>
        </w:rPr>
        <w:t xml:space="preserve">Die vollständigen Eintragungen aus den Tabellen gewährleisten eine sorgfältige und den gesetzlichen Vorschriften entsprechende Handhabung und Entsorgung der Materialien.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Daniel Santiago</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orange"/>
            <w:noWrap/>
          </w:tcPr>
          <w:p>
            <w:pPr/>
            <w:r>
              <w:rPr/>
              <w:t xml:space="preserve">MaP-1</w:t>
            </w:r>
          </w:p>
        </w:tc>
        <w:tc>
          <w:tcPr>
            <w:shd w:val="clear" w:fill="orange"/>
            <w:noWrap/>
          </w:tcPr>
          <w:p>
            <w:pPr/>
            <w:r>
              <w:rPr/>
              <w:t xml:space="preserve">Keller
</w:t>
            </w:r>
          </w:p>
          <w:p>
            <w:pPr/>
            <w:r>
              <w:rPr/>
              <w:t xml:space="preserve">UG
</w:t>
            </w:r>
          </w:p>
          <w:p>
            <w:pPr/>
            <w:r>
              <w:rPr/>
              <w:t xml:space="preserve">Boden
</w:t>
            </w:r>
          </w:p>
        </w:tc>
        <w:tc>
          <w:tcPr>
            <w:shd w:val="clear" w:fill="orange"/>
            <w:noWrap/>
          </w:tcPr>
          <w:p>
            <w:pPr/>
            <w:r>
              <w:rPr/>
              <w:t xml:space="preserve">VM-1
</w:t>
            </w:r>
          </w:p>
          <w:p>
            <w:pPr/>
            <w:r>
              <w:rPr/>
              <w:t xml:space="preserve">spezielle Anstrich-, Beschichtungsstoffe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1" o:title=""/>
                </v:shape>
              </w:pict>
              <w:t xml:space="preserve"/>
            </w:r>
          </w:p>
        </w:tc>
        <w:tc>
          <w:tcPr>
            <w:shd w:val="clear" w:fill="orange"/>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Keller
</w:t>
            </w:r>
          </w:p>
          <w:p>
            <w:pPr/>
            <w:r>
              <w:rPr/>
              <w:t xml:space="preserve">UG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Keller
</w:t>
            </w:r>
          </w:p>
          <w:p>
            <w:pPr/>
            <w:r>
              <w:rPr/>
              <w:t xml:space="preserve">UG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Gang/ Küche/ Wohnzimmer
</w:t>
            </w:r>
          </w:p>
          <w:p>
            <w:pPr/>
            <w:r>
              <w:rPr/>
              <w:t xml:space="preserve">EG
</w:t>
            </w:r>
          </w:p>
          <w:p>
            <w:pPr/>
            <w:r>
              <w:rPr/>
              <w:t xml:space="preserve">Boden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Gang/ Küche/ Wohnzimmer
</w:t>
            </w:r>
          </w:p>
          <w:p>
            <w:pPr/>
            <w:r>
              <w:rPr/>
              <w:t xml:space="preserve">EG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Gang/ Küche/ Wohnzimmer
</w:t>
            </w:r>
          </w:p>
          <w:p>
            <w:pPr/>
            <w:r>
              <w:rPr/>
              <w:t xml:space="preserve">EG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Reduit
</w:t>
            </w:r>
          </w:p>
          <w:p>
            <w:pPr/>
            <w:r>
              <w:rPr/>
              <w:t xml:space="preserve">EG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Reduit
</w:t>
            </w:r>
          </w:p>
          <w:p>
            <w:pPr/>
            <w:r>
              <w:rPr/>
              <w:t xml:space="preserve">EG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Badezimmer
</w:t>
            </w:r>
          </w:p>
          <w:p>
            <w:pPr/>
            <w:r>
              <w:rPr/>
              <w:t xml:space="preserve">EG
</w:t>
            </w:r>
          </w:p>
          <w:p>
            <w:pPr/>
            <w:r>
              <w:rPr/>
              <w:t xml:space="preserve">Boden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Badezimmer
</w:t>
            </w:r>
          </w:p>
          <w:p>
            <w:pPr/>
            <w:r>
              <w:rPr/>
              <w:t xml:space="preserve">EG
</w:t>
            </w:r>
          </w:p>
          <w:p>
            <w:pPr/>
            <w:r>
              <w:rPr/>
              <w:t xml:space="preserve">Wand
</w:t>
            </w:r>
          </w:p>
        </w:tc>
        <w:tc>
          <w:tcPr>
            <w:shd w:val="clear" w:fill="red"/>
            <w:noWrap/>
          </w:tcPr>
          <w:p>
            <w:pPr/>
            <w:r>
              <w:rPr/>
              <w:t xml:space="preserve">VM-5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Badezimmer
</w:t>
            </w:r>
          </w:p>
          <w:p>
            <w:pPr/>
            <w:r>
              <w:rPr/>
              <w:t xml:space="preserve">EG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MaP-13</w:t>
            </w:r>
          </w:p>
        </w:tc>
        <w:tc>
          <w:tcPr>
            <w:shd w:val="clear" w:fill="red"/>
            <w:noWrap/>
          </w:tcPr>
          <w:p>
            <w:pPr/>
            <w:r>
              <w:rPr/>
              <w:t xml:space="preserve">Schlafzimmer
</w:t>
            </w:r>
          </w:p>
          <w:p>
            <w:pPr/>
            <w:r>
              <w:rPr/>
              <w:t xml:space="preserve">OG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WC/ Dusche
</w:t>
            </w:r>
          </w:p>
          <w:p>
            <w:pPr/>
            <w:r>
              <w:rPr/>
              <w:t xml:space="preserve">OG
</w:t>
            </w:r>
          </w:p>
          <w:p>
            <w:pPr/>
            <w:r>
              <w:rPr/>
              <w:t xml:space="preserve">Boden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MaP-15</w:t>
            </w:r>
          </w:p>
        </w:tc>
        <w:tc>
          <w:tcPr>
            <w:shd w:val="clear" w:fill="red"/>
            <w:noWrap/>
          </w:tcPr>
          <w:p>
            <w:pPr/>
            <w:r>
              <w:rPr/>
              <w:t xml:space="preserve">WC/ Dusche
</w:t>
            </w:r>
          </w:p>
          <w:p>
            <w:pPr/>
            <w:r>
              <w:rPr/>
              <w:t xml:space="preserve">OG
</w:t>
            </w:r>
          </w:p>
          <w:p>
            <w:pPr/>
            <w:r>
              <w:rPr/>
              <w:t xml:space="preserve">Wand
</w:t>
            </w:r>
          </w:p>
        </w:tc>
        <w:tc>
          <w:tcPr>
            <w:shd w:val="clear" w:fill="red"/>
            <w:noWrap/>
          </w:tcPr>
          <w:p>
            <w:pPr/>
            <w:r>
              <w:rPr/>
              <w:t xml:space="preserve">VM-5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MaP-16</w:t>
            </w:r>
          </w:p>
        </w:tc>
        <w:tc>
          <w:tcPr>
            <w:shd w:val="clear" w:fill="red"/>
            <w:noWrap/>
          </w:tcPr>
          <w:p>
            <w:pPr/>
            <w:r>
              <w:rPr/>
              <w:t xml:space="preserve">WC/ Dusche
</w:t>
            </w:r>
          </w:p>
          <w:p>
            <w:pPr/>
            <w:r>
              <w:rPr/>
              <w:t xml:space="preserve">OG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MaP-17</w:t>
            </w:r>
          </w:p>
        </w:tc>
        <w:tc>
          <w:tcPr>
            <w:shd w:val="clear" w:fill="red"/>
            <w:noWrap/>
          </w:tcPr>
          <w:p>
            <w:pPr/>
            <w:r>
              <w:rPr/>
              <w:t xml:space="preserve">WC/ Dusche
</w:t>
            </w:r>
          </w:p>
          <w:p>
            <w:pPr/>
            <w:r>
              <w:rPr/>
              <w:t xml:space="preserve">OG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MaP-18</w:t>
            </w:r>
          </w:p>
        </w:tc>
        <w:tc>
          <w:tcPr>
            <w:shd w:val="clear" w:fill="red"/>
            <w:noWrap/>
          </w:tcPr>
          <w:p>
            <w:pPr/>
            <w:r>
              <w:rPr/>
              <w:t xml:space="preserve">Sockel
</w:t>
            </w:r>
          </w:p>
          <w:p>
            <w:pPr/>
            <w:r>
              <w:rPr/>
              <w:t xml:space="preserve">UG-EG
</w:t>
            </w:r>
          </w:p>
          <w:p>
            <w:pPr/>
            <w:r>
              <w:rPr/>
              <w:t xml:space="preserve">Wand
</w:t>
            </w:r>
          </w:p>
        </w:tc>
        <w:tc>
          <w:tcPr>
            <w:shd w:val="clear" w:fill="red"/>
            <w:noWrap/>
          </w:tcPr>
          <w:p>
            <w:pPr/>
            <w:r>
              <w:rPr/>
              <w:t xml:space="preserve">VM-8
</w:t>
            </w:r>
          </w:p>
          <w:p>
            <w:pPr/>
            <w:r>
              <w:rPr/>
              <w:t xml:space="preserve">Verputz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orange"/>
            <w:noWrap/>
          </w:tcPr>
          <w:p>
            <w:pPr/>
            <w:r>
              <w:rPr/>
              <w:t xml:space="preserve">MaP-19</w:t>
            </w:r>
          </w:p>
        </w:tc>
        <w:tc>
          <w:tcPr>
            <w:shd w:val="clear" w:fill="orange"/>
            <w:noWrap/>
          </w:tcPr>
          <w:p>
            <w:pPr/>
            <w:r>
              <w:rPr/>
              <w:t xml:space="preserve">Fassade
</w:t>
            </w:r>
          </w:p>
          <w:p>
            <w:pPr/>
            <w:r>
              <w:rPr/>
              <w:t xml:space="preserve">EG-DG
</w:t>
            </w:r>
          </w:p>
          <w:p>
            <w:pPr/>
            <w:r>
              <w:rPr/>
              <w:t xml:space="preserve">Wand
</w:t>
            </w:r>
          </w:p>
        </w:tc>
        <w:tc>
          <w:tcPr>
            <w:shd w:val="clear" w:fill="orange"/>
            <w:noWrap/>
          </w:tcPr>
          <w:p>
            <w:pPr/>
            <w:r>
              <w:rPr/>
              <w:t xml:space="preserve">VM-9
</w:t>
            </w:r>
          </w:p>
          <w:p>
            <w:pPr/>
            <w:r>
              <w:rPr/>
              <w:t xml:space="preserve">Faserzement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7" o:title=""/>
                </v:shape>
              </w:pict>
              <w:t xml:space="preserve"/>
            </w:r>
          </w:p>
        </w:tc>
        <w:tc>
          <w:tcPr>
            <w:shd w:val="clear" w:fill="orange"/>
            <w:noWrap/>
          </w:tcPr>
          <w:p>
            <w:pPr/>
            <w:r>
              <w:rPr/>
              <w:t xml:space="preserve"/>
              <w:pict>
                <v:shape type="#_x0000_t75" style="width:100px;height:150px" stroked="f" filled="f">
                  <v:imagedata r:id="rId58" o:title=""/>
                </v:shape>
              </w:pict>
              <w:t xml:space="preserve"/>
            </w:r>
          </w:p>
        </w:tc>
      </w:tr>
      <w:tr>
        <w:trPr/>
        <w:tc>
          <w:tcPr>
            <w:shd w:val="clear" w:fill="orange"/>
            <w:noWrap/>
          </w:tcPr>
          <w:p>
            <w:pPr/>
            <w:r>
              <w:rPr/>
              <w:t xml:space="preserve">MaP-20</w:t>
            </w:r>
          </w:p>
        </w:tc>
        <w:tc>
          <w:tcPr>
            <w:shd w:val="clear" w:fill="orange"/>
            <w:noWrap/>
          </w:tcPr>
          <w:p>
            <w:pPr/>
            <w:r>
              <w:rPr/>
              <w:t xml:space="preserve">Dach
</w:t>
            </w:r>
          </w:p>
          <w:p>
            <w:pPr/>
            <w:r>
              <w:rPr/>
              <w:t xml:space="preserve">DG
</w:t>
            </w:r>
          </w:p>
          <w:p>
            <w:pPr/>
            <w:r>
              <w:rPr/>
              <w:t xml:space="preserve">Dach
</w:t>
            </w:r>
          </w:p>
        </w:tc>
        <w:tc>
          <w:tcPr>
            <w:shd w:val="clear" w:fill="orange"/>
            <w:noWrap/>
          </w:tcPr>
          <w:p>
            <w:pPr/>
            <w:r>
              <w:rPr/>
              <w:t xml:space="preserve">VM-10
</w:t>
            </w:r>
          </w:p>
          <w:p>
            <w:pPr/>
            <w:r>
              <w:rPr/>
              <w:t xml:space="preserve">Faserzement
</w:t>
            </w:r>
          </w:p>
          <w:p>
            <w:pPr/>
            <w:r>
              <w:rPr/>
              <w:t xml:space="preserve">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9" o:title=""/>
                </v:shape>
              </w:pict>
              <w:t xml:space="preserve"/>
            </w:r>
          </w:p>
        </w:tc>
        <w:tc>
          <w:tcPr>
            <w:shd w:val="clear" w:fill="orange"/>
            <w:noWrap/>
          </w:tcPr>
          <w:p>
            <w:pPr/>
            <w:r>
              <w:rPr/>
              <w:t xml:space="preserve"/>
              <w:pict>
                <v:shape type="#_x0000_t75" style="width:100px;height:150px" stroked="f" filled="f">
                  <v:imagedata r:id="rId60" o:title=""/>
                </v:shape>
              </w:pict>
              <w:t xml:space="preserve"/>
            </w:r>
          </w:p>
        </w:tc>
      </w:tr>
      <w:tr>
        <w:trPr/>
        <w:tc>
          <w:tcPr>
            <w:shd w:val="clear" w:fill="orange"/>
            <w:noWrap/>
          </w:tcPr>
          <w:p>
            <w:pPr/>
            <w:r>
              <w:rPr/>
              <w:t xml:space="preserve">MaP-21</w:t>
            </w:r>
          </w:p>
        </w:tc>
        <w:tc>
          <w:tcPr>
            <w:shd w:val="clear" w:fill="orange"/>
            <w:noWrap/>
          </w:tcPr>
          <w:p>
            <w:pPr/>
            <w:r>
              <w:rPr/>
              <w:t xml:space="preserve">Reduit
</w:t>
            </w:r>
          </w:p>
          <w:p>
            <w:pPr/>
            <w:r>
              <w:rPr/>
              <w:t xml:space="preserve">EG
</w:t>
            </w:r>
          </w:p>
          <w:p>
            <w:pPr/>
            <w:r>
              <w:rPr/>
              <w:t xml:space="preserve">Decke
</w:t>
            </w:r>
          </w:p>
        </w:tc>
        <w:tc>
          <w:tcPr>
            <w:shd w:val="clear" w:fill="orange"/>
            <w:noWrap/>
          </w:tcPr>
          <w:p>
            <w:pPr/>
            <w:r>
              <w:rPr/>
              <w:t xml:space="preserve">VM-11
</w:t>
            </w:r>
          </w:p>
          <w:p>
            <w:pPr/>
            <w:r>
              <w:rPr/>
              <w:t xml:space="preserve">Faserzement
</w:t>
            </w:r>
          </w:p>
          <w:p>
            <w:pPr/>
            <w:r>
              <w:rPr/>
              <w:t xml:space="preserve">Brandschutz Blatt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1" o:title=""/>
                </v:shape>
              </w:pict>
              <w:t xml:space="preserve"/>
            </w:r>
          </w:p>
        </w:tc>
        <w:tc>
          <w:tcPr>
            <w:shd w:val="clear" w:fill="orange"/>
            <w:noWrap/>
          </w:tcPr>
          <w:p>
            <w:pPr/>
            <w:r>
              <w:rPr/>
              <w:t xml:space="preserve"/>
              <w:pict>
                <v:shape type="#_x0000_t75" style="width:100px;height:150px" stroked="f" filled="f">
                  <v:imagedata r:id="rId62"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