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Giebenacherstrasse 8, 4302 Augst,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898</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Eine Probe in der Küche.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Erika Feistle</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Giebenacherstrasse 8, 4302 Augst</w:t>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Erika Feistle</w:t>
            </w:r>
            <w:bookmarkEnd w:id="12"/>
            <w:r w:rsidRPr="00FF365E">
              <w:rPr>
                <w:sz w:val="24"/>
                <w:szCs w:val="24"/>
                <w:lang w:val="en-GB"/>
              </w:rPr>
              <w:t xml:space="preserve"> </w:t>
            </w:r>
            <w:bookmarkStart w:id="13" w:name="OLE_LINK13"/>
            <w:r w:rsidRPr="00FF365E">
              <w:rPr>
                <w:sz w:val="24"/>
                <w:szCs w:val="24"/>
                <w:lang w:val="en-GB"/>
              </w:rPr>
              <w:t xml:space="preserve">Giebenacherstrasse 8, 4302 Augst</w:t>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20 May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Map 16 Fett</w:t>
      </w:r>
      <w:r>
        <w:rPr>
          <w:sz w:val="24"/>
          <w:szCs w:val="24"/>
        </w:rPr>
        <w:t xml:space="preserve">  </w:t>
      </w:r>
      <w:br/>
      <w:r>
        <w:rPr>
          <w:sz w:val="24"/>
          <w:szCs w:val="24"/>
        </w:rPr>
        <w:t xml:space="preserve"/>
      </w:r>
      <w:br/>
      <w:r>
        <w:rPr>
          <w:sz w:val="24"/>
          <w:szCs w:val="24"/>
        </w:rPr>
        <w:t xml:space="preserve">Faserzement, der in Map 16 identifiziert wurde, kann durch instruierte Handwerker unter Einhaltung der Richtlinien 33031 entfernt werden. Die Entsorgung des Materials soll mit dem LVA Code 17 06 98nk in einer Deponie vom Typ B erfolgen.</w:t>
      </w:r>
      <w:br/>
      <w:r>
        <w:rPr>
          <w:sz w:val="24"/>
          <w:szCs w:val="24"/>
        </w:rPr>
        <w:t xml:space="preserve"/>
      </w:r>
      <w:br/>
      <w:r>
        <w:rPr>
          <w:sz w:val="24"/>
          <w:szCs w:val="24"/>
          <w:b w:val="1"/>
          <w:bCs w:val="1"/>
        </w:rPr>
        <w:t xml:space="preserve"/>
      </w:r>
      <w:r>
        <w:rPr>
          <w:sz w:val="24"/>
          <w:szCs w:val="24"/>
          <w:b w:val="1"/>
          <w:bCs w:val="1"/>
        </w:rPr>
        <w:t xml:space="preserve">Map 17 Fett</w:t>
      </w:r>
      <w:r>
        <w:rPr>
          <w:sz w:val="24"/>
          <w:szCs w:val="24"/>
        </w:rPr>
        <w:t xml:space="preserve">  </w:t>
      </w:r>
      <w:br/>
      <w:r>
        <w:rPr>
          <w:sz w:val="24"/>
          <w:szCs w:val="24"/>
        </w:rPr>
        <w:t xml:space="preserve"/>
      </w:r>
      <w:br/>
      <w:r>
        <w:rPr>
          <w:sz w:val="24"/>
          <w:szCs w:val="24"/>
        </w:rPr>
        <w:t xml:space="preserve">Faserzement aus Map 17 kann ebenfalls durch instruierte Handwerker zurückgebaut werden, unter Berücksichtigung der Richtlinien 33031. Es ist als LVA Code 17 06 98nk aufgeführt und muss in einer Deponie vom Typ B deponiert werden.</w:t>
      </w:r>
      <w:br/>
      <w:r>
        <w:rPr>
          <w:sz w:val="24"/>
          <w:szCs w:val="24"/>
        </w:rPr>
        <w:t xml:space="preserve"/>
      </w:r>
      <w:br/>
      <w:r>
        <w:rPr>
          <w:sz w:val="24"/>
          <w:szCs w:val="24"/>
          <w:b w:val="1"/>
          <w:bCs w:val="1"/>
        </w:rPr>
        <w:t xml:space="preserve"/>
      </w:r>
      <w:r>
        <w:rPr>
          <w:sz w:val="24"/>
          <w:szCs w:val="24"/>
          <w:b w:val="1"/>
          <w:bCs w:val="1"/>
        </w:rPr>
        <w:t xml:space="preserve">Map 01 Fett</w:t>
      </w:r>
      <w:r>
        <w:rPr>
          <w:sz w:val="24"/>
          <w:szCs w:val="24"/>
        </w:rPr>
        <w:t xml:space="preserve">  </w:t>
      </w:r>
      <w:br/>
      <w:r>
        <w:rPr>
          <w:sz w:val="24"/>
          <w:szCs w:val="24"/>
        </w:rPr>
        <w:t xml:space="preserve"/>
      </w:r>
      <w:br/>
      <w:r>
        <w:rPr>
          <w:sz w:val="24"/>
          <w:szCs w:val="24"/>
        </w:rPr>
        <w:t xml:space="preserve">Der Kitt auf Basis von PCB aus Map 01 erfordert eine Schadstoffsanierung durch Fachleute, gemäß den Richtlinien 7725. Dieses Material ist mit dem LVA Code 17 09 02kb klassifiziert und sollte in einer Deponie Typ E entsorgt werden. </w:t>
      </w:r>
      <w:br/>
      <w:r>
        <w:rPr>
          <w:sz w:val="24"/>
          <w:szCs w:val="24"/>
        </w:rPr>
        <w:t xml:space="preserve"/>
      </w:r>
      <w:br/>
      <w:r>
        <w:rPr>
          <w:sz w:val="24"/>
          <w:szCs w:val="24"/>
          <w:b w:val="1"/>
          <w:bCs w:val="1"/>
        </w:rPr>
        <w:t xml:space="preserve"/>
      </w:r>
      <w:r>
        <w:rPr>
          <w:sz w:val="24"/>
          <w:szCs w:val="24"/>
          <w:b w:val="1"/>
          <w:bCs w:val="1"/>
        </w:rPr>
        <w:t xml:space="preserve">BH 05.01 Fett</w:t>
      </w:r>
      <w:r>
        <w:rPr>
          <w:sz w:val="24"/>
          <w:szCs w:val="24"/>
        </w:rPr>
        <w:t xml:space="preserve">  </w:t>
      </w:r>
      <w:br/>
      <w:r>
        <w:rPr>
          <w:sz w:val="24"/>
          <w:szCs w:val="24"/>
        </w:rPr>
        <w:t xml:space="preserve"/>
      </w:r>
      <w:br/>
      <w:r>
        <w:rPr>
          <w:sz w:val="24"/>
          <w:szCs w:val="24"/>
        </w:rPr>
        <w:t xml:space="preserve">Bituminöse Dichtungsbahnen, die in der Probe BH 05.01 gefunden wurden, unterliegen der sorgfältigen Sanierung durch Schadstoffspezialisten nach Richtlinien 7725. Sie sind durch den LVA Code 17 03 80ap identifiziert und sollten typgemäss in einer Deponie Typ D beseitigt werden.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Küche
</w:t>
            </w:r>
          </w:p>
          <w:p>
            <w:pPr/>
            <w:r>
              <w:rPr/>
              <w:t xml:space="preserve">EG
</w:t>
            </w:r>
          </w:p>
          <w:p>
            <w:pPr/>
            <w:r>
              <w:rPr/>
              <w:t xml:space="preserve">Boden
</w:t>
            </w:r>
          </w:p>
        </w:tc>
        <w:tc>
          <w:tcPr>
            <w:shd w:val="clear" w:fill="red"/>
            <w:noWrap/>
          </w:tcPr>
          <w:p>
            <w:pPr/>
            <w:r>
              <w:rPr/>
              <w:t xml:space="preserve">VM-1
</w:t>
            </w:r>
          </w:p>
          <w:p>
            <w:pPr/>
            <w:r>
              <w:rPr/>
              <w:t xml:space="preserve">Fliesenkleber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