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Enzenbühlstrasse 77,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RI3007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885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vor Sanierung unter 200`000</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Stoyan Toukev</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Enzenbühlstrasse 77, Zürich,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Stoyan Toukev</w:t>
            </w:r>
            <w:bookmarkEnd w:id="12"/>
            <w:r w:rsidRPr="00FF365E">
              <w:rPr>
                <w:sz w:val="24"/>
                <w:szCs w:val="24"/>
                <w:lang w:val="en-GB"/>
              </w:rPr>
              <w:t xml:space="preserve"> </w:t>
            </w:r>
            <w:bookmarkStart w:id="13" w:name="OLE_LINK13"/>
            <w:r w:rsidRPr="00FF365E">
              <w:rPr>
                <w:sz w:val="24"/>
                <w:szCs w:val="24"/>
                <w:lang w:val="en-GB"/>
              </w:rPr>
              <w:t xml:space="preserve"> Enzenbühlstrasse 77, Zürich,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2026-04-28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Küche
</w:t>
            </w:r>
          </w:p>
          <w:p>
            <w:pPr/>
            <w:r>
              <w:rPr/>
              <w:t xml:space="preserve">2OG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Das Material LAP aus der Küche im 2. Obergeschoss ist beim Einbauort Herd anzutreffen und enthält Asbest. Die Sanierung muss durch Schadstoffsanierer erfolgen, wobei das Material den Richtlinien 33036 unterliegt und mit dem LVA-Code 17 06 05 S zu entsorgen ist.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2OG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2OG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2OG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2OG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2OG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2OG
</w:t>
            </w:r>
          </w:p>
          <w:p>
            <w:pPr/>
            <w:r>
              <w:rPr/>
              <w:t xml:space="preserve">Sockel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Badezimmer/ WC
</w:t>
            </w:r>
          </w:p>
          <w:p>
            <w:pPr/>
            <w:r>
              <w:rPr/>
              <w:t xml:space="preserve">2OG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Badezimmer/ WC
</w:t>
            </w:r>
          </w:p>
          <w:p>
            <w:pPr/>
            <w:r>
              <w:rPr/>
              <w:t xml:space="preserve">2OG
</w:t>
            </w:r>
          </w:p>
          <w:p>
            <w:pPr/>
            <w:r>
              <w:rPr/>
              <w:t xml:space="preserve">Sockel/ Badewanne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Badezimmer/ WC
</w:t>
            </w:r>
          </w:p>
          <w:p>
            <w:pPr/>
            <w:r>
              <w:rPr/>
              <w:t xml:space="preserve">2OG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Badezimmer/ WC
</w:t>
            </w:r>
          </w:p>
          <w:p>
            <w:pPr/>
            <w:r>
              <w:rPr/>
              <w:t xml:space="preserve">2OG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Badezimmer/ WC
</w:t>
            </w:r>
          </w:p>
          <w:p>
            <w:pPr/>
            <w:r>
              <w:rPr/>
              <w:t xml:space="preserve">2OG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MaP-12</w:t>
            </w:r>
          </w:p>
        </w:tc>
        <w:tc>
          <w:tcPr>
            <w:shd w:val="clear" w:fill="orange"/>
            <w:noWrap/>
          </w:tcPr>
          <w:p>
            <w:pPr/>
            <w:r>
              <w:rPr/>
              <w:t xml:space="preserve">Ganzes Haus
</w:t>
            </w:r>
          </w:p>
          <w:p>
            <w:pPr/>
            <w:r>
              <w:rPr/>
              <w:t xml:space="preserve">2OG
</w:t>
            </w:r>
          </w:p>
          <w:p>
            <w:pPr/>
            <w:r>
              <w:rPr/>
              <w:t xml:space="preserve">Fenster
</w:t>
            </w:r>
          </w:p>
        </w:tc>
        <w:tc>
          <w:tcPr>
            <w:shd w:val="clear" w:fill="orange"/>
            <w:noWrap/>
          </w:tcPr>
          <w:p>
            <w:pPr/>
            <w:r>
              <w:rPr/>
              <w:t xml:space="preserve">VM-7
</w:t>
            </w:r>
          </w:p>
          <w:p>
            <w:pPr/>
            <w:r>
              <w:rPr/>
              <w:t xml:space="preserve">Fenster 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MaP-13</w:t>
            </w:r>
          </w:p>
        </w:tc>
        <w:tc>
          <w:tcPr>
            <w:shd w:val="clear" w:fill="orange"/>
            <w:noWrap/>
          </w:tcPr>
          <w:p>
            <w:pPr/>
            <w:r>
              <w:rPr/>
              <w:t xml:space="preserve">Ganzes Haus
</w:t>
            </w:r>
          </w:p>
          <w:p>
            <w:pPr/>
            <w:r>
              <w:rPr/>
              <w:t xml:space="preserve">2OG
</w:t>
            </w:r>
          </w:p>
          <w:p>
            <w:pPr/>
            <w:r>
              <w:rPr/>
              <w:t xml:space="preserve">Fenster
</w:t>
            </w:r>
          </w:p>
        </w:tc>
        <w:tc>
          <w:tcPr>
            <w:shd w:val="clear" w:fill="orange"/>
            <w:noWrap/>
          </w:tcPr>
          <w:p>
            <w:pPr/>
            <w:r>
              <w:rPr/>
              <w:t xml:space="preserve">VM-8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Gang/ Schlafzimmer
</w:t>
            </w:r>
          </w:p>
          <w:p>
            <w:pPr/>
            <w:r>
              <w:rPr/>
              <w:t xml:space="preserve">2OG
</w:t>
            </w:r>
          </w:p>
          <w:p>
            <w:pPr/>
            <w:r>
              <w:rPr/>
              <w:t xml:space="preserve">Boden
</w:t>
            </w:r>
          </w:p>
        </w:tc>
        <w:tc>
          <w:tcPr>
            <w:shd w:val="clear" w:fill="red"/>
            <w:noWrap/>
          </w:tcPr>
          <w:p>
            <w:pPr/>
            <w:r>
              <w:rPr/>
              <w:t xml:space="preserve">VM-9
</w:t>
            </w:r>
          </w:p>
          <w:p>
            <w:pPr/>
            <w:r>
              <w:rPr/>
              <w:t xml:space="preserve">Klebstoffe
</w:t>
            </w:r>
          </w:p>
          <w:p>
            <w:pPr/>
            <w:r>
              <w:rPr/>
              <w:t xml:space="preserve">Teppichkleber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2OG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Gang/ Schlafzimmer
</w:t>
            </w:r>
          </w:p>
          <w:p>
            <w:pPr/>
            <w:r>
              <w:rPr/>
              <w:t xml:space="preserve">2OG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VB-3</w:t>
            </w:r>
          </w:p>
        </w:tc>
        <w:tc>
          <w:tcPr>
            <w:shd w:val="clear" w:fill="red"/>
            <w:noWrap/>
          </w:tcPr>
          <w:p>
            <w:pPr/>
            <w:r>
              <w:rPr/>
              <w:t xml:space="preserve">Ganzes Haus
</w:t>
            </w:r>
          </w:p>
          <w:p>
            <w:pPr/>
            <w:r>
              <w:rPr/>
              <w:t xml:space="preserve">2OG, vorne
</w:t>
            </w:r>
          </w:p>
          <w:p>
            <w:pPr/>
            <w:r>
              <w:rPr/>
              <w:t xml:space="preserve">Boden
</w:t>
            </w:r>
          </w:p>
        </w:tc>
        <w:tc>
          <w:tcPr>
            <w:shd w:val="clear" w:fill="red"/>
            <w:noWrap/>
          </w:tcPr>
          <w:p>
            <w:pPr/>
            <w:r>
              <w:rPr/>
              <w:t xml:space="preserve">VM-10
</w:t>
            </w:r>
          </w:p>
          <w:p>
            <w:pPr/>
            <w:r>
              <w:rPr/>
              <w:t xml:space="preserve">Klebstoffe
</w:t>
            </w:r>
          </w:p>
          <w:p>
            <w:pPr/>
            <w:r>
              <w:rPr/>
              <w:t xml:space="preserve">Holzboden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2OG
</w:t>
            </w:r>
          </w:p>
        </w:tc>
        <w:tc>
          <w:tcPr>
            <w:shd w:val="clear" w:fill="red"/>
            <w:noWrap/>
          </w:tcPr>
          <w:p>
            <w:pPr/>
            <w:r>
              <w:rPr/>
              <w:t xml:space="preserve">VM-11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2OG
</w:t>
            </w:r>
          </w:p>
          <w:p>
            <w:pPr/>
            <w:r>
              <w:rPr/>
              <w:t xml:space="preserve">Wand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