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Enzenbühlstrasse 77,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RI3007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vor Sanierung unter 200`000</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Stoyan Toukev</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Enzenbühlstrasse 77, Zürich,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Stoyan Toukev</w:t>
            </w:r>
            <w:bookmarkEnd w:id="12"/>
            <w:r w:rsidRPr="00FF365E">
              <w:rPr>
                <w:sz w:val="24"/>
                <w:szCs w:val="24"/>
                <w:lang w:val="en-GB"/>
              </w:rPr>
              <w:t xml:space="preserve"> </w:t>
            </w:r>
            <w:bookmarkStart w:id="13" w:name="OLE_LINK13"/>
            <w:r w:rsidRPr="00FF365E">
              <w:rPr>
                <w:sz w:val="24"/>
                <w:szCs w:val="24"/>
                <w:lang w:val="en-GB"/>
              </w:rPr>
              <w:t xml:space="preserve"> Enzenbühlstrasse 77, Zürich,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2026-04-28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MaP-5</w:t>
            </w:r>
          </w:p>
        </w:tc>
        <w:tc>
          <w:tcPr>
            <w:noWrap/>
          </w:tcPr>
          <w:p>
            <w:pPr/>
            <w:r>
              <w:rPr/>
              <w:t xml:space="preserve">Küche
</w:t>
            </w:r>
          </w:p>
          <w:p>
            <w:pPr/>
            <w:r>
              <w:rPr/>
              <w:t xml:space="preserve">2OG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Badezimmer/ WC
</w:t>
            </w:r>
          </w:p>
          <w:p>
            <w:pPr/>
            <w:r>
              <w:rPr/>
              <w:t xml:space="preserve">2.OG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Schlafzimmer
</w:t>
            </w:r>
          </w:p>
          <w:p>
            <w:pPr/>
            <w:r>
              <w:rPr/>
              <w:t xml:space="preserve">2OG
</w:t>
            </w:r>
          </w:p>
          <w:p>
            <w:pPr/>
            <w:r>
              <w:rPr/>
              <w:t xml:space="preserve">Wand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Küche
</w:t>
            </w:r>
          </w:p>
          <w:p>
            <w:pPr/>
            <w:r>
              <w:rPr/>
              <w:t xml:space="preserve">2OG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Gang
</w:t>
            </w:r>
          </w:p>
          <w:p>
            <w:pPr/>
            <w:r>
              <w:rPr/>
              <w:t xml:space="preserve">2OG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Cushion Vinyl</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Fliesenkleber</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Verputz</w:t>
            </w:r>
          </w:p>
        </w:tc>
        <w:tc>
          <w:tcPr>
            <w:noWrap/>
          </w:tcPr>
          <w:p>
            <w:pPr/>
            <w:r>
              <w:rPr/>
              <w:t xml:space="preserve">25m²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MaP-5 Cushion Vinyl</w:t>
      </w:r>
      <w:r>
        <w:rPr>
          <w:sz w:val="24"/>
          <w:szCs w:val="24"/>
        </w:rPr>
        <w:t xml:space="preserve"/>
      </w:r>
      <w:br/>
      <w:r>
        <w:rPr>
          <w:sz w:val="24"/>
          <w:szCs w:val="24"/>
        </w:rPr>
        <w:t xml:space="preserve"/>
      </w:r>
      <w:br/>
      <w:r>
        <w:rPr>
          <w:sz w:val="24"/>
          <w:szCs w:val="24"/>
        </w:rPr>
        <w:t xml:space="preserve">Cushion Vinyl aus der MaP-5 Probe kann durch Schadstoffsanierer entsprechend den EKAS 6503 Kap. 7 Richtlinien rückgebaut werden. Es ist als problematischer Abfall mit dem LVA Code 17 06 05 S zu kennzeichnen und zu entsorgen.</w:t>
      </w:r>
      <w:br/>
      <w:r>
        <w:rPr>
          <w:sz w:val="24"/>
          <w:szCs w:val="24"/>
        </w:rPr>
        <w:t xml:space="preserve"/>
      </w:r>
      <w:br/>
      <w:r>
        <w:rPr>
          <w:sz w:val="24"/>
          <w:szCs w:val="24"/>
          <w:b w:val="1"/>
          <w:bCs w:val="1"/>
        </w:rPr>
        <w:t xml:space="preserve"/>
      </w:r>
      <w:r>
        <w:rPr>
          <w:sz w:val="24"/>
          <w:szCs w:val="24"/>
          <w:b w:val="1"/>
          <w:bCs w:val="1"/>
        </w:rPr>
        <w:t xml:space="preserve">MaP-9 Fliesenkleber</w:t>
      </w:r>
      <w:r>
        <w:rPr>
          <w:sz w:val="24"/>
          <w:szCs w:val="24"/>
        </w:rPr>
        <w:t xml:space="preserve"/>
      </w:r>
      <w:br/>
      <w:r>
        <w:rPr>
          <w:sz w:val="24"/>
          <w:szCs w:val="24"/>
        </w:rPr>
        <w:t xml:space="preserve"/>
      </w:r>
      <w:br/>
      <w:r>
        <w:rPr>
          <w:sz w:val="24"/>
          <w:szCs w:val="24"/>
        </w:rPr>
        <w:t xml:space="preserve">Fliesenkleber identifiziert in MaP-9 sollte ebenfalls durch Schadstoffsanierer unter Einhaltung der EKAS 6503 Kap. 7 Richtlinien saniert werden. Für die Entsorgung ist der LVA Code 17 06 05 S anzuwenden.</w:t>
      </w:r>
      <w:br/>
      <w:r>
        <w:rPr>
          <w:sz w:val="24"/>
          <w:szCs w:val="24"/>
        </w:rPr>
        <w:t xml:space="preserve"/>
      </w:r>
      <w:br/>
      <w:r>
        <w:rPr>
          <w:sz w:val="24"/>
          <w:szCs w:val="24"/>
          <w:b w:val="1"/>
          <w:bCs w:val="1"/>
        </w:rPr>
        <w:t xml:space="preserve"/>
      </w:r>
      <w:r>
        <w:rPr>
          <w:sz w:val="24"/>
          <w:szCs w:val="24"/>
          <w:b w:val="1"/>
          <w:bCs w:val="1"/>
        </w:rPr>
        <w:t xml:space="preserve">MaP-15 Verputz</w:t>
      </w:r>
      <w:r>
        <w:rPr>
          <w:sz w:val="24"/>
          <w:szCs w:val="24"/>
        </w:rPr>
        <w:t xml:space="preserve"/>
      </w:r>
      <w:br/>
      <w:r>
        <w:rPr>
          <w:sz w:val="24"/>
          <w:szCs w:val="24"/>
        </w:rPr>
        <w:t xml:space="preserve"/>
      </w:r>
      <w:br/>
      <w:r>
        <w:rPr>
          <w:sz w:val="24"/>
          <w:szCs w:val="24"/>
        </w:rPr>
        <w:t xml:space="preserve">Verputz aus der Probe MaP-15 wird durch spezialisierte Schadstoffsanierer nach EKAS 6503 Kap. 7 Richtlinien entfernt. Der LVA Code für die Entsorgung ist 17 06 05 S.</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w:r>
      <w:br/>
      <w:r>
        <w:rPr>
          <w:sz w:val="24"/>
          <w:szCs w:val="24"/>
        </w:rPr>
        <w:t xml:space="preserve"/>
      </w:r>
      <w:br/>
      <w:r>
        <w:rPr>
          <w:sz w:val="24"/>
          <w:szCs w:val="24"/>
        </w:rPr>
        <w:t xml:space="preserve">Der bei VB-1 gefundene Asbest im LAP darf ausschliesslich von Schadstoffsanierern gemäss den Richtlinien 33036 entsorgt werden. Die korrekte Kennzeichnung für die Entsorgung ist der LVA Code 17 06 05 S.</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r>
      <w:br/>
      <w:r>
        <w:rPr>
          <w:sz w:val="24"/>
          <w:szCs w:val="24"/>
        </w:rPr>
        <w:t xml:space="preserve"/>
      </w:r>
      <w:br/>
      <w:r>
        <w:rPr>
          <w:sz w:val="24"/>
          <w:szCs w:val="24"/>
        </w:rPr>
        <w:t xml:space="preserve">Faserzement aus VB-2 kann von instruierte Handwerker rückgebaut werden, wobei die Richtlinien 33031 zu beachten sind. Für die Entsorgung gilt der LVA Code 17 06 98 nk und erfolgt auf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2OG
</w:t>
            </w:r>
          </w:p>
          <w:p>
            <w:pPr/>
            <w:r>
              <w:rPr/>
              <w:t xml:space="preserve">Wand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2OG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2OG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2OG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2OG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2OG
</w:t>
            </w:r>
          </w:p>
          <w:p>
            <w:pPr/>
            <w:r>
              <w:rPr/>
              <w:t xml:space="preserve">Sockel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Badezimmer/ WC
</w:t>
            </w:r>
          </w:p>
          <w:p>
            <w:pPr/>
            <w:r>
              <w:rPr/>
              <w:t xml:space="preserve">2OG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Badezimmer/ WC
</w:t>
            </w:r>
          </w:p>
          <w:p>
            <w:pPr/>
            <w:r>
              <w:rPr/>
              <w:t xml:space="preserve">2OG
</w:t>
            </w:r>
          </w:p>
          <w:p>
            <w:pPr/>
            <w:r>
              <w:rPr/>
              <w:t xml:space="preserve">Sockel/ Badewanne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Badezimmer/ WC
</w:t>
            </w:r>
          </w:p>
          <w:p>
            <w:pPr/>
            <w:r>
              <w:rPr/>
              <w:t xml:space="preserve">2.OG
</w:t>
            </w:r>
          </w:p>
          <w:p>
            <w:pPr/>
            <w:r>
              <w:rPr/>
              <w:t xml:space="preserve">Wand
</w:t>
            </w:r>
          </w:p>
        </w:tc>
        <w:tc>
          <w:tcPr>
            <w:shd w:val="clear" w:fill="red"/>
            <w:noWrap/>
          </w:tcPr>
          <w:p>
            <w:pPr/>
            <w:r>
              <w:rPr/>
              <w:t xml:space="preserve">VM-12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Badezimmer/ WC
</w:t>
            </w:r>
          </w:p>
          <w:p>
            <w:pPr/>
            <w:r>
              <w:rPr/>
              <w:t xml:space="preserve">2OG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Badezimmer/ WC
</w:t>
            </w:r>
          </w:p>
          <w:p>
            <w:pPr/>
            <w:r>
              <w:rPr/>
              <w:t xml:space="preserve">2OG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MaP-12</w:t>
            </w:r>
          </w:p>
        </w:tc>
        <w:tc>
          <w:tcPr>
            <w:shd w:val="clear" w:fill="green"/>
            <w:noWrap/>
          </w:tcPr>
          <w:p>
            <w:pPr/>
            <w:r>
              <w:rPr/>
              <w:t xml:space="preserve">Ganzes Haus
</w:t>
            </w:r>
          </w:p>
          <w:p>
            <w:pPr/>
            <w:r>
              <w:rPr/>
              <w:t xml:space="preserve">2OG
</w:t>
            </w:r>
          </w:p>
          <w:p>
            <w:pPr/>
            <w:r>
              <w:rPr/>
              <w:t xml:space="preserve">Fenster
</w:t>
            </w:r>
          </w:p>
        </w:tc>
        <w:tc>
          <w:tcPr>
            <w:shd w:val="clear" w:fill="green"/>
            <w:noWrap/>
          </w:tcPr>
          <w:p>
            <w:pPr/>
            <w:r>
              <w:rPr/>
              <w:t xml:space="preserve">VM-7
</w:t>
            </w:r>
          </w:p>
          <w:p>
            <w:pPr/>
            <w:r>
              <w:rPr/>
              <w:t xml:space="preserve">Fenster Kitt
</w:t>
            </w:r>
          </w:p>
          <w:p>
            <w:pPr/>
            <w:r>
              <w:rPr/>
              <w:t xml:space="preserve">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orange"/>
            <w:noWrap/>
          </w:tcPr>
          <w:p>
            <w:pPr/>
            <w:r>
              <w:rPr/>
              <w:t xml:space="preserve">MaP-13</w:t>
            </w:r>
          </w:p>
        </w:tc>
        <w:tc>
          <w:tcPr>
            <w:shd w:val="clear" w:fill="orange"/>
            <w:noWrap/>
          </w:tcPr>
          <w:p>
            <w:pPr/>
            <w:r>
              <w:rPr/>
              <w:t xml:space="preserve">Ganzes Haus
</w:t>
            </w:r>
          </w:p>
          <w:p>
            <w:pPr/>
            <w:r>
              <w:rPr/>
              <w:t xml:space="preserve">2OG
</w:t>
            </w:r>
          </w:p>
          <w:p>
            <w:pPr/>
            <w:r>
              <w:rPr/>
              <w:t xml:space="preserve">Fenster
</w:t>
            </w:r>
          </w:p>
        </w:tc>
        <w:tc>
          <w:tcPr>
            <w:shd w:val="clear" w:fill="orange"/>
            <w:noWrap/>
          </w:tcPr>
          <w:p>
            <w:pPr/>
            <w:r>
              <w:rPr/>
              <w:t xml:space="preserve">VM-8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6" o:title=""/>
                </v:shape>
              </w:pict>
              <w:t xml:space="preserve"/>
            </w:r>
          </w:p>
        </w:tc>
        <w:tc>
          <w:tcPr>
            <w:shd w:val="clear" w:fill="orange"/>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Gang/ Schlafzimmer
</w:t>
            </w:r>
          </w:p>
          <w:p>
            <w:pPr/>
            <w:r>
              <w:rPr/>
              <w:t xml:space="preserve">2OG
</w:t>
            </w:r>
          </w:p>
          <w:p>
            <w:pPr/>
            <w:r>
              <w:rPr/>
              <w:t xml:space="preserve">Boden
</w:t>
            </w:r>
          </w:p>
        </w:tc>
        <w:tc>
          <w:tcPr>
            <w:shd w:val="clear" w:fill="red"/>
            <w:noWrap/>
          </w:tcPr>
          <w:p>
            <w:pPr/>
            <w:r>
              <w:rPr/>
              <w:t xml:space="preserve">VM-9
</w:t>
            </w:r>
          </w:p>
          <w:p>
            <w:pPr/>
            <w:r>
              <w:rPr/>
              <w:t xml:space="preserve">Klebstoffe
</w:t>
            </w:r>
          </w:p>
          <w:p>
            <w:pPr/>
            <w:r>
              <w:rPr/>
              <w:t xml:space="preserve">Teppichkleber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2OG
</w:t>
            </w:r>
          </w:p>
          <w:p>
            <w:pPr/>
            <w:r>
              <w:rPr/>
              <w:t xml:space="preserve">Wand
</w:t>
            </w:r>
          </w:p>
        </w:tc>
        <w:tc>
          <w:tcPr>
            <w:shd w:val="clear" w:fill="red"/>
            <w:noWrap/>
          </w:tcPr>
          <w:p>
            <w:pPr/>
            <w:r>
              <w:rPr/>
              <w:t xml:space="preserve">VM-13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Gang/ Schlafzimmer
</w:t>
            </w:r>
          </w:p>
          <w:p>
            <w:pPr/>
            <w:r>
              <w:rPr/>
              <w:t xml:space="preserve">2OG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VB-3</w:t>
            </w:r>
          </w:p>
        </w:tc>
        <w:tc>
          <w:tcPr>
            <w:shd w:val="clear" w:fill="red"/>
            <w:noWrap/>
          </w:tcPr>
          <w:p>
            <w:pPr/>
            <w:r>
              <w:rPr/>
              <w:t xml:space="preserve">Ganzes Haus
</w:t>
            </w:r>
          </w:p>
          <w:p>
            <w:pPr/>
            <w:r>
              <w:rPr/>
              <w:t xml:space="preserve">2OG, vorne
</w:t>
            </w:r>
          </w:p>
          <w:p>
            <w:pPr/>
            <w:r>
              <w:rPr/>
              <w:t xml:space="preserve">Boden
</w:t>
            </w:r>
          </w:p>
        </w:tc>
        <w:tc>
          <w:tcPr>
            <w:shd w:val="clear" w:fill="red"/>
            <w:noWrap/>
          </w:tcPr>
          <w:p>
            <w:pPr/>
            <w:r>
              <w:rPr/>
              <w:t xml:space="preserve">VM-10
</w:t>
            </w:r>
          </w:p>
          <w:p>
            <w:pPr/>
            <w:r>
              <w:rPr/>
              <w:t xml:space="preserve">Klebstoffe
</w:t>
            </w:r>
          </w:p>
          <w:p>
            <w:pPr/>
            <w:r>
              <w:rPr/>
              <w:t xml:space="preserve">Holzboden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2OG
</w:t>
            </w:r>
          </w:p>
        </w:tc>
        <w:tc>
          <w:tcPr>
            <w:shd w:val="clear" w:fill="red"/>
            <w:noWrap/>
          </w:tcPr>
          <w:p>
            <w:pPr/>
            <w:r>
              <w:rPr/>
              <w:t xml:space="preserve">VM-11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2OG
</w:t>
            </w:r>
          </w:p>
          <w:p>
            <w:pPr/>
            <w:r>
              <w:rPr/>
              <w:t xml:space="preserve">Wand
</w:t>
            </w:r>
          </w:p>
        </w:tc>
        <w:tc>
          <w:tcPr>
            <w:shd w:val="clear" w:fill="orange"/>
            <w:noWrap/>
          </w:tcPr>
          <w:p>
            <w:pPr/>
            <w:r>
              <w:rPr/>
              <w:t xml:space="preserve">VM-6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