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Weinbergstrasse 112, 8006 Zürich,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UN222</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869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1030 Wohnhaus mit Nebennutzung</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Teiluntersuch mit Kurzbericht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Michaela Danz | Architektin</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Danz Architektur AG  Universitätstrasse 53  8006 Zürich</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Michaela Danz | Architektin</w:t>
            </w:r>
            <w:bookmarkEnd w:id="12"/>
            <w:r w:rsidRPr="00FF365E">
              <w:rPr>
                <w:sz w:val="24"/>
                <w:szCs w:val="24"/>
                <w:lang w:val="en-GB"/>
              </w:rPr>
              <w:t xml:space="preserve"> </w:t>
            </w:r>
            <w:bookmarkStart w:id="13" w:name="OLE_LINK13"/>
            <w:r w:rsidRPr="00FF365E">
              <w:rPr>
                <w:sz w:val="24"/>
                <w:szCs w:val="24"/>
                <w:lang w:val="en-GB"/>
              </w:rPr>
              <w:t xml:space="preserve">Danz Architektur AG  Universitätstrasse 53  8006 Zürich</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21 April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Styropor</w:t>
      </w:r>
      <w:r>
        <w:rPr>
          <w:sz w:val="24"/>
          <w:szCs w:val="24"/>
        </w:rPr>
        <w:t xml:space="preserve"> aus Map 5 muss durch Schadstoffsanierer gemäss den Richtlinien 23131 entfernt werden und ist mit dem LVA Code 17 06 04k in einer Deponie Typ E zu entsorgen.</w:t>
      </w:r>
      <w:br/>
      <w:r>
        <w:rPr>
          <w:sz w:val="24"/>
          <w:szCs w:val="24"/>
        </w:rPr>
        <w:t xml:space="preserve"/>
      </w:r>
      <w:br/>
      <w:r>
        <w:rPr>
          <w:sz w:val="24"/>
          <w:szCs w:val="24"/>
          <w:b w:val="1"/>
          <w:bCs w:val="1"/>
        </w:rPr>
        <w:t xml:space="preserve"/>
      </w:r>
      <w:r>
        <w:rPr>
          <w:sz w:val="24"/>
          <w:szCs w:val="24"/>
          <w:b w:val="1"/>
          <w:bCs w:val="1"/>
        </w:rPr>
        <w:t xml:space="preserve">Holzwollezement</w:t>
      </w:r>
      <w:r>
        <w:rPr>
          <w:sz w:val="24"/>
          <w:szCs w:val="24"/>
        </w:rPr>
        <w:t xml:space="preserve"> aus Map 12 erfordert den Einsatz von Schadstoffsanierern und die Einhaltung der Richtlinien 33030, und soll mit dem LVA Code 17 06 80k in einer Deponie Typ D platziert werden.</w:t>
      </w:r>
      <w:br/>
      <w:r>
        <w:rPr>
          <w:sz w:val="24"/>
          <w:szCs w:val="24"/>
        </w:rPr>
        <w:t xml:space="preserve"/>
      </w:r>
      <w:br/>
      <w:r>
        <w:rPr>
          <w:sz w:val="24"/>
          <w:szCs w:val="24"/>
          <w:b w:val="1"/>
          <w:bCs w:val="1"/>
        </w:rPr>
        <w:t xml:space="preserve"/>
      </w:r>
      <w:r>
        <w:rPr>
          <w:sz w:val="24"/>
          <w:szCs w:val="24"/>
          <w:b w:val="1"/>
          <w:bCs w:val="1"/>
        </w:rPr>
        <w:t xml:space="preserve">Armierungsfasern</w:t>
      </w:r>
      <w:r>
        <w:rPr>
          <w:sz w:val="24"/>
          <w:szCs w:val="24"/>
        </w:rPr>
        <w:t xml:space="preserve"> aus Map 6 können durch instruierte Handwerker demontiert werden, wobei die Richtlinien 33131 befolgt werden müssen, und sind mit dem LVA Code 17 06 01k in einer Deponie Typ C zu deponieren.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EG
</w:t>
            </w:r>
          </w:p>
          <w:p>
            <w:pPr/>
            <w:r>
              <w:rPr/>
              <w:t xml:space="preserve">Wand
</w:t>
            </w:r>
          </w:p>
        </w:tc>
        <w:tc>
          <w:tcPr>
            <w:shd w:val="clear" w:fill="red"/>
            <w:noWrap/>
          </w:tcPr>
          <w:p>
            <w:pPr/>
            <w:r>
              <w:rPr/>
              <w:t xml:space="preserve">VM-1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Fassade
</w:t>
            </w:r>
          </w:p>
          <w:p>
            <w:pPr/>
            <w:r>
              <w:rPr/>
              <w:t xml:space="preserve">EG-DG
</w:t>
            </w:r>
          </w:p>
          <w:p>
            <w:pPr/>
            <w:r>
              <w:rPr/>
              <w:t xml:space="preserve">Fassade
</w:t>
            </w:r>
          </w:p>
        </w:tc>
        <w:tc>
          <w:tcPr>
            <w:shd w:val="clear" w:fill="red"/>
            <w:noWrap/>
          </w:tcPr>
          <w:p>
            <w:pPr/>
            <w:r>
              <w:rPr/>
              <w:t xml:space="preserve">VM-1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