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868</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Markus Widmer, Elektro Naef</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 Feldblumenweg 8/10 Thalwil</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Markus Widmer, Elektro Naef</w:t>
            </w:r>
            <w:bookmarkEnd w:id="12"/>
            <w:r w:rsidRPr="00FF365E">
              <w:rPr>
                <w:sz w:val="24"/>
                <w:szCs w:val="24"/>
                <w:lang w:val="en-GB"/>
              </w:rPr>
              <w:t xml:space="preserve"> </w:t>
            </w:r>
            <w:bookmarkStart w:id="13" w:name="OLE_LINK13"/>
            <w:r w:rsidRPr="00FF365E">
              <w:rPr>
                <w:sz w:val="24"/>
                <w:szCs w:val="24"/>
                <w:lang w:val="en-GB"/>
              </w:rPr>
              <w:t xml:space="preserve"> Feldblumenweg 8/10 Thalwil</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24 April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Map 2, Faserzement</w:t>
      </w:r>
      <w:r>
        <w:rPr>
          <w:sz w:val="24"/>
          <w:szCs w:val="24"/>
        </w:rPr>
        <w:t xml:space="preserve">  </w:t>
      </w:r>
      <w:br/>
      <w:r>
        <w:rPr>
          <w:sz w:val="24"/>
          <w:szCs w:val="24"/>
        </w:rPr>
        <w:t xml:space="preserve">Faserzement aus Map 2 kann durch instruierte Handwerker unter Einhaltung der Richtlinien 33031 rückgebaut werden und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Map 14, Betonplatten</w:t>
      </w:r>
      <w:r>
        <w:rPr>
          <w:sz w:val="24"/>
          <w:szCs w:val="24"/>
        </w:rPr>
        <w:t xml:space="preserve">  </w:t>
      </w:r>
      <w:br/>
      <w:r>
        <w:rPr>
          <w:sz w:val="24"/>
          <w:szCs w:val="24"/>
        </w:rPr>
        <w:t xml:space="preserve">Betonplatten aus Map 14 können durch instruierte Handwerker unter Einhaltung der Richtlinien 33031 rückgebaut werden und sind mit dem LVA Code 17 01 01 in einer Deponie Typ A zu entsorgen.</w:t>
      </w:r>
      <w:br/>
      <w:r>
        <w:rPr>
          <w:sz w:val="24"/>
          <w:szCs w:val="24"/>
        </w:rPr>
        <w:t xml:space="preserve"/>
      </w:r>
      <w:br/>
      <w:r>
        <w:rPr>
          <w:sz w:val="24"/>
          <w:szCs w:val="24"/>
          <w:b w:val="1"/>
          <w:bCs w:val="1"/>
        </w:rPr>
        <w:t xml:space="preserve"/>
      </w:r>
      <w:r>
        <w:rPr>
          <w:sz w:val="24"/>
          <w:szCs w:val="24"/>
          <w:b w:val="1"/>
          <w:bCs w:val="1"/>
        </w:rPr>
        <w:t xml:space="preserve">Map 17, Faserzement</w:t>
      </w:r>
      <w:r>
        <w:rPr>
          <w:sz w:val="24"/>
          <w:szCs w:val="24"/>
        </w:rPr>
        <w:t xml:space="preserve">  </w:t>
      </w:r>
      <w:br/>
      <w:r>
        <w:rPr>
          <w:sz w:val="24"/>
          <w:szCs w:val="24"/>
        </w:rPr>
        <w:t xml:space="preserve">Faserzement aus Map 17 kann durch instruierte Handwerker unter Einhaltung der Richtlinien 33031 rückgebaut werden und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Map 20, Bodenbelag</w:t>
      </w:r>
      <w:r>
        <w:rPr>
          <w:sz w:val="24"/>
          <w:szCs w:val="24"/>
        </w:rPr>
        <w:t xml:space="preserve">  </w:t>
      </w:r>
      <w:br/>
      <w:r>
        <w:rPr>
          <w:sz w:val="24"/>
          <w:szCs w:val="24"/>
        </w:rPr>
        <w:t xml:space="preserve">Bodenbelag aus Map 20 ist durch Schadstoffsanierer nach den Vorschriften zu sanieren und mit dem LVA Code 08 01 11* als Sonderabfall zu entsorgen.</w:t>
      </w:r>
      <w:br/>
      <w:r>
        <w:rPr>
          <w:sz w:val="24"/>
          <w:szCs w:val="24"/>
        </w:rPr>
        <w:t xml:space="preserve"/>
      </w:r>
      <w:br/>
      <w:r>
        <w:rPr>
          <w:sz w:val="24"/>
          <w:szCs w:val="24"/>
          <w:b w:val="1"/>
          <w:bCs w:val="1"/>
        </w:rPr>
        <w:t xml:space="preserve"/>
      </w:r>
      <w:r>
        <w:rPr>
          <w:sz w:val="24"/>
          <w:szCs w:val="24"/>
          <w:b w:val="1"/>
          <w:bCs w:val="1"/>
        </w:rPr>
        <w:t xml:space="preserve">Map 42, Dämmmaterial</w:t>
      </w:r>
      <w:r>
        <w:rPr>
          <w:sz w:val="24"/>
          <w:szCs w:val="24"/>
        </w:rPr>
        <w:t xml:space="preserve">  </w:t>
      </w:r>
      <w:br/>
      <w:r>
        <w:rPr>
          <w:sz w:val="24"/>
          <w:szCs w:val="24"/>
        </w:rPr>
        <w:t xml:space="preserve">Dämmmaterial aus Map 42 ist durch Schadstoffsanierer nach den Vorschriften zu sanieren und mit dem LVA Code 17 06 04* als Sonderabfall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Gang
</w:t>
            </w:r>
          </w:p>
          <w:p>
            <w:pPr/>
            <w:r>
              <w:rPr/>
              <w:t xml:space="preserve">EG-DG
</w:t>
            </w:r>
          </w:p>
          <w:p>
            <w:pPr/>
            <w:r>
              <w:rPr/>
              <w:t xml:space="preserve">Elektrotableau
</w:t>
            </w:r>
          </w:p>
        </w:tc>
        <w:tc>
          <w:tcPr>
            <w:shd w:val="clear" w:fill="red"/>
            <w:noWrap/>
          </w:tcPr>
          <w:p>
            <w:pPr/>
            <w:r>
              <w:rPr/>
              <w:t xml:space="preserve">VM-1
</w:t>
            </w:r>
          </w:p>
          <w:p>
            <w:pPr/>
            <w:r>
              <w:rPr/>
              <w:t xml:space="preserve">LAP
</w:t>
            </w:r>
          </w:p>
          <w:p>
            <w:pPr/>
            <w:r>
              <w:rPr/>
              <w:t xml:space="preserve">Elektrotableau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green"/>
            <w:noWrap/>
          </w:tcPr>
          <w:p>
            <w:pPr/>
            <w:r>
              <w:rPr/>
              <w:t xml:space="preserve">MaP-2</w:t>
            </w:r>
          </w:p>
        </w:tc>
        <w:tc>
          <w:tcPr>
            <w:shd w:val="clear" w:fill="green"/>
            <w:noWrap/>
          </w:tcPr>
          <w:p/>
        </w:tc>
        <w:tc>
          <w:tcPr>
            <w:shd w:val="clear" w:fill="green"/>
            <w:noWrap/>
          </w:tcPr>
          <w:p/>
        </w:tc>
        <w:tc>
          <w:tcPr>
            <w:shd w:val="clear" w:fill="green"/>
            <w:noWrap/>
          </w:tcPr>
          <w:p>
            <w:pPr/>
            <w:r>
              <w:rPr/>
              <w:t xml:space="preserve"/>
            </w:r>
          </w:p>
        </w:tc>
        <w:tc>
          <w:tcPr>
            <w:shd w:val="clear" w:fill="green"/>
            <w:noWrap/>
          </w:tcPr>
          <w:p>
            <w:pPr/>
            <w:r>
              <w:rPr/>
              <w:t xml:space="preserve">Miss N3.jpeg</w:t>
            </w:r>
          </w:p>
        </w:tc>
        <w:tc>
          <w:tcPr>
            <w:shd w:val="clear" w:fill="green"/>
            <w:noWrap/>
          </w:tcPr>
          <w:p>
            <w:pPr/>
            <w:r>
              <w:rPr/>
              <w:t xml:space="preserve">Miss O3.jpeg</w:t>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