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85</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85 Martin Huser</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martinhuser@bluewin.ch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Abschluss Kundenbericht</w:t>
      </w:r>
      <w:r>
        <w:rPr/>
        <w:t xml:space="preserve"/>
      </w:r>
      <w:br/>
      <w:r>
        <w:rPr/>
        <w:t xml:space="preserve"/>
      </w:r>
      <w:br/>
      <w:r>
        <w:rPr/>
        <w:t xml:space="preserve">Basierend auf der Erfassung und Analyse der im Bericht aufgeführten Bauschadstoffvorkommen haben wir zwei Kategorien von Sanierungsansätzen identifiziert: die Sanierung durch spezialisierte Schadstoffsanierer und die Sanierung durch instruierte Handwerker. </w:t>
      </w:r>
      <w:br/>
      <w:r>
        <w:rPr/>
        <w:t xml:space="preserve"/>
      </w:r>
      <w:br/>
      <w:r>
        <w:rPr>
          <w:b w:val="1"/>
          <w:bCs w:val="1"/>
        </w:rPr>
        <w:t xml:space="preserve">1. </w:t>
      </w:r>
      <w:r>
        <w:rPr>
          <w:b w:val="1"/>
          <w:bCs w:val="1"/>
        </w:rPr>
        <w:t xml:space="preserve">Identifikation und Priorisierung von Schadstoffen</w:t>
      </w:r>
      <w:r>
        <w:rPr/>
        <w:t xml:space="preserve"/>
      </w:r>
      <w:br/>
      <w:r>
        <w:rPr/>
        <w:t xml:space="preserve"/>
      </w:r>
      <w:br/>
      <w:r>
        <w:rPr/>
        <w:t xml:space="preserve">   Bei Prüfung der Proben konnten diverse Bauschadstoffe in verschiedenen Materialien identifiziert werden. Es ist wichtig, die spezifischen Schadstoffe, ihre Verdachtsstufen sowie die Laborergebnisse genau zu bewerten. Schadstoffe wie Asbest, PCB (Polychlorierte Biphenyle) und PAK (Polyzyklische aromatische Kohlenwasserstoffe) erfordern eine besondere Aufmerksamkeit, da sie signifikante Gesundheitsrisiken darstellen.</w:t>
      </w:r>
      <w:br/>
      <w:r>
        <w:rPr/>
        <w:t xml:space="preserve"/>
      </w:r>
      <w:br/>
      <w:r>
        <w:rPr>
          <w:b w:val="1"/>
          <w:bCs w:val="1"/>
        </w:rPr>
        <w:t xml:space="preserve">2. </w:t>
      </w:r>
      <w:r>
        <w:rPr>
          <w:b w:val="1"/>
          <w:bCs w:val="1"/>
        </w:rPr>
        <w:t xml:space="preserve">Sanierung durch spezialisierte Schadstoffsanierer</w:t>
      </w:r>
      <w:r>
        <w:rPr/>
        <w:t xml:space="preserve"/>
      </w:r>
      <w:br/>
      <w:r>
        <w:rPr/>
        <w:t xml:space="preserve"/>
      </w:r>
      <w:br/>
      <w:r>
        <w:rPr/>
        <w:t xml:space="preserve">   In Fällen, die eine umfassende und präzise Sanierung erfordern, empfehlen wir die Beauftragung professioneller Schadstoffsanierer. Diese Fachkräfte sind speziell ausgebildet, um mit gefährlichen Schadstoffen sicher und effektiv umzugehen, und stellen sicher, dass die Arbeiten gemäß den festgelegten Richtlinien und dem DKS (Deutscher Gefahrstoffschutz-Code) durchgeführt werden. In der Regel betrifft dies größere Mengen oder hochriskante Schadstoffvorkommen.</w:t>
      </w:r>
      <w:br/>
      <w:r>
        <w:rPr/>
        <w:t xml:space="preserve"/>
      </w:r>
      <w:br/>
      <w:r>
        <w:rPr>
          <w:b w:val="1"/>
          <w:bCs w:val="1"/>
        </w:rPr>
        <w:t xml:space="preserve">3. </w:t>
      </w:r>
      <w:r>
        <w:rPr>
          <w:b w:val="1"/>
          <w:bCs w:val="1"/>
        </w:rPr>
        <w:t xml:space="preserve">Sanierung durch instruierte Handwerker</w:t>
      </w:r>
      <w:r>
        <w:rPr/>
        <w:t xml:space="preserve"/>
      </w:r>
      <w:br/>
      <w:r>
        <w:rPr/>
        <w:t xml:space="preserve"/>
      </w:r>
      <w:br/>
      <w:r>
        <w:rPr/>
        <w:t xml:space="preserve">   Für Schadstoffe in geringeren Konzentrationen oder in weniger kritischen Bereichen kann die Sanierung durch geschulte und instruierte Handwerker in Betracht gezogen werden. Diese Option sollte gewählt werden, wenn die Richtlinien dies ausdrücklich erlauben und der LVA (Leitfaden zur Vermeidung von Asbest) dies unterstützt. Die Handwerker müssen über eine entsprechende Schulung verfügen, um die erforderlichen Sicherheitsstandards einhalten zu können.</w:t>
      </w:r>
      <w:br/>
      <w:r>
        <w:rPr/>
        <w:t xml:space="preserve"/>
      </w:r>
      <w:br/>
      <w:r>
        <w:rPr>
          <w:b w:val="1"/>
          <w:bCs w:val="1"/>
        </w:rPr>
        <w:t xml:space="preserve"/>
      </w:r>
      <w:r>
        <w:rPr>
          <w:b w:val="1"/>
          <w:bCs w:val="1"/>
        </w:rPr>
        <w:t xml:space="preserve">Empfehlung:</w:t>
      </w:r>
      <w:r>
        <w:rPr/>
        <w:t xml:space="preserve"/>
      </w:r>
      <w:br/>
      <w:r>
        <w:rPr/>
        <w:t xml:space="preserve"/>
      </w:r>
      <w:br/>
      <w:r>
        <w:rPr/>
        <w:t xml:space="preserve">- Starten Sie die Sanierung der schwerwiegendsten Schadstoffvorkommen mit Hilfe spezialisierter Sanierer, um Risiken für die Gesundheit der Bauarbeiter und die Bewohner effektiv zu minimieren.</w:t>
      </w:r>
      <w:br/>
      <w:r>
        <w:rPr/>
        <w:t xml:space="preserve">  </w:t>
      </w:r>
      <w:br/>
      <w:r>
        <w:rPr/>
        <w:t xml:space="preserve">- Ergänzend dazu sollten instruierte Handwerker eingesetzt werden, um weniger kritische Schadstoffvorkommen zu sanieren und somit eine kosteneffiziente und dennoch sichere Lösung zu ermöglichen.</w:t>
      </w:r>
      <w:br/>
      <w:r>
        <w:rPr/>
        <w:t xml:space="preserve"/>
      </w:r>
      <w:br/>
      <w:r>
        <w:rPr/>
        <w:t xml:space="preserve">- Überwachen Sie regelmäßig den Fortschritt und die Einhaltung der Sanierungsrichtlinien, um sicherzustellen, dass die Arbeiten den gesetzlichen und gesundheitlichen Standards entsprechen.</w:t>
      </w:r>
      <w:br/>
      <w:r>
        <w:rPr/>
        <w:t xml:space="preserve"/>
      </w:r>
      <w:br/>
      <w:r>
        <w:rPr/>
        <w:t xml:space="preserve">Eine abschließende Bewertung nach der Sanierung ist erforderlich, um sicherzustellen, dass das Gebäude frei von gefährlichen Schadstoffrückständen ist.</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WC
</w:t>
            </w:r>
          </w:p>
          <w:p>
            <w:pPr/>
            <w:r>
              <w:rPr/>
              <w:t xml:space="preserve">EG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WC
</w:t>
            </w:r>
          </w:p>
          <w:p>
            <w:pPr/>
            <w:r>
              <w:rPr/>
              <w:t xml:space="preserve">EG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WC
</w:t>
            </w:r>
          </w:p>
          <w:p>
            <w:pPr/>
            <w:r>
              <w:rPr/>
              <w:t xml:space="preserve">EG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Bad
</w:t>
            </w:r>
          </w:p>
          <w:p>
            <w:pPr/>
            <w:r>
              <w:rPr/>
              <w:t xml:space="preserve">EG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Bad
</w:t>
            </w:r>
          </w:p>
          <w:p>
            <w:pPr/>
            <w:r>
              <w:rPr/>
              <w:t xml:space="preserve">EG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Bad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Bad
</w:t>
            </w:r>
          </w:p>
          <w:p>
            <w:pPr/>
            <w:r>
              <w:rPr/>
              <w:t xml:space="preserve">EG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