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21" w:type="dxa"/>
        <w:tblInd w:w="-113" w:type="dxa"/>
        <w:tblLayout w:type="fixed"/>
        <w:tblLook w:val="0600" w:firstRow="0" w:lastRow="0" w:firstColumn="0" w:lastColumn="0" w:noHBand="1" w:noVBand="1"/>
      </w:tblPr>
      <w:tblGrid>
        <w:gridCol w:w="5386"/>
        <w:gridCol w:w="729"/>
        <w:gridCol w:w="3306"/>
      </w:tblGrid>
      <w:tr w:rsidR="0047123B" w:rsidTr="004A1ED8">
        <w:trPr>
          <w:trHeight w:val="3764"/>
        </w:trPr>
        <w:tc>
          <w:tcPr>
            <w:tcW w:w="5386" w:type="dxa"/>
            <w:shd w:val="clear" w:color="auto" w:fill="auto"/>
            <w:tcMar>
              <w:top w:w="100" w:type="dxa"/>
              <w:left w:w="100" w:type="dxa"/>
              <w:bottom w:w="100" w:type="dxa"/>
              <w:right w:w="100" w:type="dxa"/>
            </w:tcMar>
          </w:tcPr>
          <w:p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rsidR="0047123B" w:rsidRDefault="0047123B" w:rsidP="004A1ED8">
            <w:pPr>
              <w:spacing w:line="240" w:lineRule="auto"/>
              <w:rPr>
                <w:sz w:val="24"/>
                <w:szCs w:val="24"/>
              </w:rPr>
            </w:pPr>
            <w:bookmarkStart w:id="1" w:name="OLE_LINK33"/>
            <w:r>
              <w:rPr>
                <w:sz w:val="24"/>
                <w:szCs w:val="24"/>
              </w:rPr>
              <w:t/>
            </w:r>
            <w:bookmarkEnd w:id="1"/>
            <w:r>
              <w:rPr>
                <w:sz w:val="24"/>
                <w:szCs w:val="24"/>
              </w:rPr>
              <w:br/>
            </w:r>
            <w:r>
              <w:rPr>
                <w:sz w:val="24"/>
                <w:szCs w:val="24"/>
              </w:rPr>
              <w:br/>
              <w:t/>
            </w:r>
          </w:p>
          <w:p w:rsidR="0047123B" w:rsidRDefault="0047123B" w:rsidP="004A1ED8">
            <w:pPr>
              <w:spacing w:line="240" w:lineRule="auto"/>
              <w:rPr>
                <w:sz w:val="24"/>
                <w:szCs w:val="24"/>
              </w:rPr>
            </w:pPr>
          </w:p>
          <w:p w:rsidR="0047123B" w:rsidRDefault="0047123B" w:rsidP="004A1ED8">
            <w:pPr>
              <w:spacing w:line="240" w:lineRule="auto"/>
              <w:rPr>
                <w:sz w:val="24"/>
                <w:szCs w:val="24"/>
              </w:rPr>
            </w:pPr>
            <w:r>
              <w:rPr>
                <w:sz w:val="24"/>
                <w:szCs w:val="24"/>
              </w:rPr>
              <w:t/>
            </w: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rPr>
                <w:sz w:val="24"/>
                <w:szCs w:val="24"/>
              </w:rPr>
            </w:pPr>
          </w:p>
          <w:p w:rsidR="0047123B" w:rsidRDefault="0047123B" w:rsidP="004A1ED8">
            <w:pPr>
              <w:spacing w:line="240" w:lineRule="auto"/>
              <w:jc w:val="right"/>
              <w:rPr>
                <w:b/>
                <w:sz w:val="24"/>
                <w:szCs w:val="24"/>
              </w:rPr>
            </w:pPr>
            <w:r>
              <w:rPr>
                <w:b/>
                <w:sz w:val="24"/>
                <w:szCs w:val="24"/>
              </w:rPr>
              <w:t>DN: 83</w:t>
            </w:r>
          </w:p>
        </w:tc>
      </w:tr>
    </w:tbl>
    <w:p w:rsidR="0047123B" w:rsidRDefault="0047123B" w:rsidP="0047123B">
      <w:pPr>
        <w:spacing w:line="240" w:lineRule="auto"/>
        <w:rPr>
          <w:sz w:val="24"/>
          <w:szCs w:val="24"/>
        </w:rPr>
      </w:pPr>
    </w:p>
    <w:p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rsidTr="004A1ED8">
        <w:tc>
          <w:tcPr>
            <w:tcW w:w="237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2" w:name="OLE_LINK16"/>
            <w:r>
              <w:rPr>
                <w:sz w:val="24"/>
                <w:szCs w:val="24"/>
              </w:rPr>
              <w:t xml:space="preserve"/>
            </w:r>
          </w:p>
        </w:tc>
      </w:tr>
      <w:tr w:rsidR="0047123B" w:rsidTr="004A1ED8">
        <w:tc>
          <w:tcPr>
            <w:tcW w:w="237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r>
              <w:rPr>
                <w:sz w:val="24"/>
                <w:szCs w:val="24"/>
              </w:rPr>
              <w:t/>
            </w:r>
          </w:p>
        </w:tc>
      </w:tr>
    </w:tbl>
    <w:p w:rsidR="0047123B" w:rsidRDefault="0047123B" w:rsidP="0047123B">
      <w:pPr>
        <w:spacing w:line="240" w:lineRule="auto"/>
        <w:rPr>
          <w:sz w:val="24"/>
          <w:szCs w:val="24"/>
        </w:rPr>
      </w:pPr>
    </w:p>
    <w:p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rsidTr="004A1ED8">
        <w:tc>
          <w:tcPr>
            <w:tcW w:w="235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rsidR="0047123B" w:rsidRDefault="0047123B" w:rsidP="004A1ED8">
            <w:pPr>
              <w:spacing w:line="240" w:lineRule="auto"/>
              <w:rPr>
                <w:sz w:val="24"/>
                <w:szCs w:val="24"/>
              </w:rPr>
            </w:pPr>
            <w:bookmarkStart w:id="8" w:name="OLE_LINK5"/>
            <w:r>
              <w:rPr>
                <w:sz w:val="24"/>
                <w:szCs w:val="24"/>
              </w:rPr>
              <w:t/>
            </w:r>
            <w:bookmarkEnd w:id="8"/>
          </w:p>
          <w:p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rsidTr="004A1ED8">
        <w:tc>
          <w:tcPr>
            <w:tcW w:w="2355"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rsidR="0047123B" w:rsidRDefault="0047123B" w:rsidP="004A1ED8">
            <w:pPr>
              <w:widowControl w:val="0"/>
              <w:spacing w:line="240" w:lineRule="auto"/>
              <w:rPr>
                <w:sz w:val="24"/>
                <w:szCs w:val="24"/>
              </w:rPr>
            </w:pPr>
            <w:bookmarkStart w:id="12" w:name="OLE_LINK7"/>
            <w:r>
              <w:rPr>
                <w:sz w:val="24"/>
                <w:szCs w:val="24"/>
              </w:rPr>
              <w:t>Stucki</w:t>
            </w:r>
            <w:bookmarkEnd w:id="12"/>
            <w:r>
              <w:rPr>
                <w:sz w:val="24"/>
                <w:szCs w:val="24"/>
              </w:rPr>
              <w:t xml:space="preserve"> </w:t>
            </w:r>
            <w:bookmarkStart w:id="13" w:name="OLE_LINK13"/>
            <w:r>
              <w:rPr>
                <w:sz w:val="24"/>
                <w:szCs w:val="24"/>
              </w:rPr>
              <w:t>0794295659</w:t>
            </w:r>
            <w:bookmarkEnd w:id="13"/>
          </w:p>
          <w:p w:rsidR="0047123B" w:rsidRDefault="0047123B" w:rsidP="004A1ED8">
            <w:pPr>
              <w:widowControl w:val="0"/>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c>
          <w:tcPr>
            <w:tcW w:w="2355" w:type="dxa"/>
          </w:tcPr>
          <w:p w:rsidR="0047123B" w:rsidRDefault="0047123B" w:rsidP="004A1ED8">
            <w:pPr>
              <w:spacing w:line="240" w:lineRule="auto"/>
              <w:rPr>
                <w:sz w:val="24"/>
                <w:szCs w:val="24"/>
              </w:rPr>
            </w:pPr>
            <w:r>
              <w:rPr>
                <w:sz w:val="24"/>
                <w:szCs w:val="24"/>
              </w:rPr>
              <w:t>Zeitpunkt der Untersuchung</w:t>
            </w:r>
          </w:p>
        </w:tc>
        <w:tc>
          <w:tcPr>
            <w:tcW w:w="2265" w:type="dxa"/>
          </w:tcPr>
          <w:p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rsidTr="004A1ED8">
        <w:tc>
          <w:tcPr>
            <w:tcW w:w="2355" w:type="dxa"/>
          </w:tcPr>
          <w:p w:rsidR="0047123B" w:rsidRDefault="0047123B" w:rsidP="004A1ED8">
            <w:pPr>
              <w:spacing w:line="240" w:lineRule="auto"/>
              <w:rPr>
                <w:sz w:val="24"/>
                <w:szCs w:val="24"/>
              </w:rPr>
            </w:pPr>
            <w:r>
              <w:rPr>
                <w:sz w:val="24"/>
                <w:szCs w:val="24"/>
              </w:rPr>
              <w:t>Zusätzliche Beigabe</w:t>
            </w:r>
          </w:p>
        </w:tc>
        <w:tc>
          <w:tcPr>
            <w:tcW w:w="2265" w:type="dxa"/>
          </w:tcPr>
          <w:p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465"/>
        </w:trPr>
        <w:tc>
          <w:tcPr>
            <w:tcW w:w="2355" w:type="dxa"/>
          </w:tcPr>
          <w:p w:rsidR="0047123B" w:rsidRDefault="0047123B" w:rsidP="004A1ED8">
            <w:pPr>
              <w:spacing w:line="240" w:lineRule="auto"/>
              <w:rPr>
                <w:sz w:val="24"/>
                <w:szCs w:val="24"/>
              </w:rPr>
            </w:pPr>
            <w:r>
              <w:rPr>
                <w:sz w:val="24"/>
                <w:szCs w:val="24"/>
              </w:rPr>
              <w:t>Chur, 17 January 2025</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870"/>
        </w:trPr>
        <w:tc>
          <w:tcPr>
            <w:tcW w:w="2355" w:type="dxa"/>
          </w:tcPr>
          <w:p w:rsidR="0047123B" w:rsidRDefault="0047123B" w:rsidP="004A1ED8">
            <w:pPr>
              <w:spacing w:line="240" w:lineRule="auto"/>
              <w:rPr>
                <w:sz w:val="24"/>
                <w:szCs w:val="24"/>
              </w:rPr>
            </w:pPr>
            <w:r>
              <w:rPr>
                <w:sz w:val="24"/>
                <w:szCs w:val="24"/>
              </w:rPr>
              <w:t>Unterschrift</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r w:rsidR="0047123B" w:rsidTr="004A1ED8">
        <w:trPr>
          <w:trHeight w:val="390"/>
        </w:trPr>
        <w:tc>
          <w:tcPr>
            <w:tcW w:w="2355" w:type="dxa"/>
          </w:tcPr>
          <w:p w:rsidR="0047123B" w:rsidRDefault="0047123B" w:rsidP="004A1ED8">
            <w:pPr>
              <w:spacing w:line="240" w:lineRule="auto"/>
              <w:rPr>
                <w:sz w:val="24"/>
                <w:szCs w:val="24"/>
              </w:rPr>
            </w:pPr>
            <w:r>
              <w:rPr>
                <w:sz w:val="24"/>
                <w:szCs w:val="24"/>
              </w:rPr>
              <w:t/>
            </w:r>
          </w:p>
        </w:tc>
        <w:tc>
          <w:tcPr>
            <w:tcW w:w="2265" w:type="dxa"/>
          </w:tcPr>
          <w:p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rsidR="0047123B" w:rsidRDefault="0047123B" w:rsidP="004A1ED8">
            <w:pPr>
              <w:widowControl w:val="0"/>
              <w:pBdr>
                <w:top w:val="nil"/>
                <w:left w:val="nil"/>
                <w:bottom w:val="nil"/>
                <w:right w:val="nil"/>
                <w:between w:val="nil"/>
              </w:pBdr>
              <w:spacing w:line="240" w:lineRule="auto"/>
              <w:rPr>
                <w:sz w:val="24"/>
                <w:szCs w:val="24"/>
              </w:rPr>
            </w:pPr>
          </w:p>
        </w:tc>
      </w:tr>
    </w:tbl>
    <w:p w:rsidR="0047123B" w:rsidRDefault="0047123B" w:rsidP="0047123B">
      <w:pPr>
        <w:spacing w:line="240" w:lineRule="auto"/>
        <w:rPr>
          <w:sz w:val="24"/>
          <w:szCs w:val="24"/>
        </w:rPr>
      </w:pP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18" w:name="_gjdgxs" w:colFirst="0" w:colLast="0"/>
      <w:bookmarkEnd w:id="18"/>
      <w:r>
        <w:rPr>
          <w:rFonts w:ascii="Calibri" w:eastAsia="Calibri" w:hAnsi="Calibri" w:cs="Calibri"/>
          <w:b/>
          <w:color w:val="2F5496"/>
          <w:sz w:val="32"/>
          <w:szCs w:val="32"/>
        </w:rPr>
        <w:t>Grundlagen</w:t>
      </w:r>
    </w:p>
    <w:p w:rsidR="0047123B" w:rsidRDefault="0047123B" w:rsidP="0047123B">
      <w:pPr>
        <w:shd w:val="clear" w:color="auto" w:fill="FFFFFF"/>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 xml:space="preserve">Nachfolgend finden Sie eine Übersicht der wesentlichen gesetzlichen Grundlagen und Richtlinien, die für den Umgang mit umwelt- und gesundheitsgefährdenden Stoffen relevant sind: </w:t>
      </w:r>
    </w:p>
    <w:p w:rsidR="0047123B" w:rsidRDefault="0047123B" w:rsidP="0047123B">
      <w:pPr>
        <w:shd w:val="clear" w:color="auto" w:fill="FFFFFF"/>
        <w:spacing w:line="240" w:lineRule="auto"/>
        <w:rPr>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Umweltschutzgesetz (USG): Regelt den Schutz der Umwelt vor schädlichen Einwirkungen (Stand: 1. Januar 2022).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Chemikalien-Risikoreduktions-Verordnung (ChemRRV): Vorschriften zur Reduktion von Risiken beim Umgang mit gefährlichen Stoffen</w:t>
      </w:r>
      <w:r>
        <w:rPr>
          <w:b/>
          <w:sz w:val="24"/>
          <w:szCs w:val="24"/>
        </w:rPr>
        <w:br/>
        <w:t>(Stand: 6. Oktober 2022).</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Unfallversicherungsgesetz (UVG) und Verordnung über die Unfallverhütung (VUV): Rahmenbedingungen für die Verhütung von Unfällen und Berufskrankheiten (Stand: 1. Januar 2022).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Abfallverordnungen (VVEA, VeVA): Regelungen zur Vermeidung, Entsorgung und zum Verkehr mit Abfällen (Stand: 1. Januar 2023).</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Asbest-Richtlinien und SUVA-Factsheets: Umfassende Anweisungen zum sicheren Umgang mit Asbest in verschiedenen Anwendungen, sowie Hinweise zur Sanierung und Rückbau (verschiedene Stände).</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ILO-Übereinkommen Nr. 162: Internationale Standards zur Sicherheit bei der Verwendung von Asbest. </w:t>
      </w:r>
    </w:p>
    <w:p w:rsidR="0047123B" w:rsidRDefault="0047123B" w:rsidP="0047123B">
      <w:pPr>
        <w:shd w:val="clear" w:color="auto" w:fill="FFFFFF"/>
        <w:spacing w:line="240" w:lineRule="auto"/>
        <w:rPr>
          <w:b/>
          <w:sz w:val="24"/>
          <w:szCs w:val="24"/>
        </w:rPr>
      </w:pPr>
    </w:p>
    <w:p w:rsidR="0047123B" w:rsidRDefault="0047123B" w:rsidP="0047123B">
      <w:pPr>
        <w:numPr>
          <w:ilvl w:val="0"/>
          <w:numId w:val="7"/>
        </w:numPr>
        <w:shd w:val="clear" w:color="auto" w:fill="FFFFFF"/>
        <w:spacing w:line="240" w:lineRule="auto"/>
        <w:rPr>
          <w:b/>
          <w:sz w:val="24"/>
          <w:szCs w:val="24"/>
        </w:rPr>
      </w:pPr>
      <w:r>
        <w:rPr>
          <w:b/>
          <w:sz w:val="24"/>
          <w:szCs w:val="24"/>
        </w:rPr>
        <w:t xml:space="preserve">PCB-Richtlinien und Wegleitungen: Spezifische Vorgaben zur sachgerechten Entfernung und Entsorgung von PCB-haltigen Materialien (Stand: 2020). </w:t>
      </w:r>
    </w:p>
    <w:p w:rsidR="0047123B" w:rsidRDefault="0047123B" w:rsidP="0047123B">
      <w:pPr>
        <w:spacing w:line="240" w:lineRule="auto"/>
        <w:rPr>
          <w:sz w:val="24"/>
          <w:szCs w:val="24"/>
        </w:rPr>
      </w:pPr>
    </w:p>
    <w:p w:rsidR="0047123B" w:rsidRDefault="0047123B" w:rsidP="0047123B">
      <w:pPr>
        <w:keepNext/>
        <w:keepLines/>
        <w:spacing w:line="240" w:lineRule="auto"/>
        <w:rPr>
          <w:sz w:val="26"/>
          <w:szCs w:val="26"/>
        </w:rPr>
      </w:pPr>
      <w:bookmarkStart w:id="19" w:name="_mbcpup475s1x" w:colFirst="0" w:colLast="0"/>
      <w:bookmarkEnd w:id="19"/>
      <w:r>
        <w:rPr>
          <w:sz w:val="26"/>
          <w:szCs w:val="26"/>
        </w:rPr>
        <w:br/>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r>
        <w:br w:type="page"/>
      </w: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0" w:name="_2et92p0" w:colFirst="0" w:colLast="0"/>
      <w:bookmarkStart w:id="21" w:name="OLE_LINK41"/>
      <w:bookmarkEnd w:id="20"/>
      <w:r>
        <w:rPr>
          <w:rFonts w:ascii="Calibri" w:eastAsia="Calibri" w:hAnsi="Calibri" w:cs="Calibri"/>
          <w:b/>
          <w:color w:val="2F5496"/>
          <w:sz w:val="32"/>
          <w:szCs w:val="32"/>
        </w:rPr>
        <w:lastRenderedPageBreak/>
        <w:t>Schadstoffuntersuchung</w:t>
      </w:r>
    </w:p>
    <w:bookmarkEnd w:id="21"/>
    <w:p w:rsidR="0047123B" w:rsidRDefault="0047123B" w:rsidP="0047123B">
      <w:pPr>
        <w:spacing w:line="240" w:lineRule="auto"/>
        <w:rPr>
          <w:color w:val="0070C0"/>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2" w:name="_tyjcwt" w:colFirst="0" w:colLast="0"/>
      <w:bookmarkEnd w:id="22"/>
      <w:r>
        <w:rPr>
          <w:rFonts w:ascii="Calibri" w:eastAsia="Calibri" w:hAnsi="Calibri" w:cs="Calibri"/>
          <w:b/>
          <w:color w:val="2F5496"/>
          <w:sz w:val="26"/>
          <w:szCs w:val="26"/>
        </w:rPr>
        <w:t>Ausgeführte Leistungen</w:t>
      </w:r>
    </w:p>
    <w:p w:rsidR="0047123B" w:rsidRDefault="0047123B" w:rsidP="0047123B">
      <w:pPr>
        <w:spacing w:line="240" w:lineRule="auto"/>
        <w:rPr>
          <w:sz w:val="24"/>
          <w:szCs w:val="24"/>
        </w:rPr>
      </w:pPr>
    </w:p>
    <w:p w:rsidR="0047123B" w:rsidRDefault="0047123B" w:rsidP="0047123B">
      <w:pPr>
        <w:numPr>
          <w:ilvl w:val="0"/>
          <w:numId w:val="8"/>
        </w:numPr>
        <w:shd w:val="clear" w:color="auto" w:fill="FFFFFF"/>
        <w:spacing w:line="240" w:lineRule="auto"/>
        <w:rPr>
          <w:sz w:val="24"/>
          <w:szCs w:val="24"/>
        </w:rPr>
      </w:pPr>
      <w:r>
        <w:rPr>
          <w:sz w:val="24"/>
          <w:szCs w:val="24"/>
        </w:rPr>
        <w:t xml:space="preserve">Probenahme von verdächtigen Materialien und Bausubstanz </w:t>
      </w:r>
    </w:p>
    <w:p w:rsidR="0047123B" w:rsidRDefault="0047123B" w:rsidP="0047123B">
      <w:pPr>
        <w:numPr>
          <w:ilvl w:val="0"/>
          <w:numId w:val="8"/>
        </w:numPr>
        <w:shd w:val="clear" w:color="auto" w:fill="FFFFFF"/>
        <w:spacing w:line="240" w:lineRule="auto"/>
        <w:rPr>
          <w:sz w:val="24"/>
          <w:szCs w:val="24"/>
        </w:rPr>
      </w:pPr>
      <w:r>
        <w:rPr>
          <w:sz w:val="24"/>
          <w:szCs w:val="24"/>
        </w:rPr>
        <w:t xml:space="preserve">Fotodokumentation der verdächtigen Materialien und Bausubstanz </w:t>
      </w:r>
    </w:p>
    <w:p w:rsidR="0047123B" w:rsidRDefault="0047123B" w:rsidP="0047123B">
      <w:pPr>
        <w:numPr>
          <w:ilvl w:val="0"/>
          <w:numId w:val="8"/>
        </w:numPr>
        <w:shd w:val="clear" w:color="auto" w:fill="FFFFFF"/>
        <w:spacing w:line="240" w:lineRule="auto"/>
        <w:rPr>
          <w:sz w:val="24"/>
          <w:szCs w:val="24"/>
        </w:rPr>
      </w:pPr>
      <w:r>
        <w:rPr>
          <w:sz w:val="24"/>
          <w:szCs w:val="24"/>
        </w:rPr>
        <w:t xml:space="preserve">Beschreibung des Analyseauftrags und Versand der Materialproben ins Labor </w:t>
      </w:r>
    </w:p>
    <w:p w:rsidR="0047123B" w:rsidRDefault="0047123B" w:rsidP="0047123B">
      <w:pPr>
        <w:numPr>
          <w:ilvl w:val="0"/>
          <w:numId w:val="8"/>
        </w:numPr>
        <w:shd w:val="clear" w:color="auto" w:fill="FFFFFF"/>
        <w:spacing w:line="240" w:lineRule="auto"/>
        <w:rPr>
          <w:sz w:val="24"/>
          <w:szCs w:val="24"/>
        </w:rPr>
      </w:pPr>
      <w:r>
        <w:rPr>
          <w:sz w:val="24"/>
          <w:szCs w:val="24"/>
        </w:rPr>
        <w:t xml:space="preserve">Auswertung, Interpretation und Dokumentation der Analyseresultate </w:t>
      </w:r>
    </w:p>
    <w:p w:rsidR="0047123B" w:rsidRDefault="0047123B" w:rsidP="0047123B">
      <w:pPr>
        <w:numPr>
          <w:ilvl w:val="0"/>
          <w:numId w:val="8"/>
        </w:numPr>
        <w:shd w:val="clear" w:color="auto" w:fill="FFFFFF"/>
        <w:spacing w:line="240" w:lineRule="auto"/>
        <w:rPr>
          <w:sz w:val="24"/>
          <w:szCs w:val="24"/>
        </w:rPr>
      </w:pPr>
      <w:r>
        <w:rPr>
          <w:sz w:val="24"/>
          <w:szCs w:val="24"/>
        </w:rPr>
        <w:t xml:space="preserve">Berichterstattung </w:t>
      </w:r>
    </w:p>
    <w:p w:rsidR="0047123B" w:rsidRDefault="0047123B" w:rsidP="0047123B">
      <w:pPr>
        <w:numPr>
          <w:ilvl w:val="0"/>
          <w:numId w:val="8"/>
        </w:numPr>
        <w:shd w:val="clear" w:color="auto" w:fill="FFFFFF"/>
        <w:spacing w:line="240" w:lineRule="auto"/>
        <w:rPr>
          <w:sz w:val="24"/>
          <w:szCs w:val="24"/>
        </w:rPr>
      </w:pPr>
      <w:r>
        <w:rPr>
          <w:sz w:val="24"/>
          <w:szCs w:val="24"/>
        </w:rPr>
        <w:t xml:space="preserve">Laboranalytik der Asbest-Proben durch die Analysis Lab SA in Biel </w:t>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3" w:name="_3dy6vkm" w:colFirst="0" w:colLast="0"/>
      <w:bookmarkEnd w:id="23"/>
      <w:r>
        <w:rPr>
          <w:rFonts w:ascii="Calibri" w:eastAsia="Calibri" w:hAnsi="Calibri" w:cs="Calibri"/>
          <w:b/>
          <w:color w:val="2F5496"/>
          <w:sz w:val="26"/>
          <w:szCs w:val="26"/>
        </w:rPr>
        <w:t>Probenahme und Analytik</w:t>
      </w:r>
    </w:p>
    <w:p w:rsidR="0047123B" w:rsidRDefault="0047123B" w:rsidP="0047123B">
      <w:pPr>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rsidR="0047123B" w:rsidRDefault="0047123B" w:rsidP="0047123B">
      <w:pPr>
        <w:shd w:val="clear" w:color="auto" w:fill="FFFFFF"/>
        <w:spacing w:line="240" w:lineRule="auto"/>
        <w:rPr>
          <w:sz w:val="24"/>
          <w:szCs w:val="24"/>
        </w:rPr>
      </w:pPr>
      <w:r>
        <w:rPr>
          <w:sz w:val="24"/>
          <w:szCs w:val="24"/>
        </w:rPr>
        <w:br/>
      </w: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24" w:name="_1t3h5sf" w:colFirst="0" w:colLast="0"/>
      <w:bookmarkEnd w:id="24"/>
      <w:r>
        <w:rPr>
          <w:rFonts w:ascii="Calibri" w:eastAsia="Calibri" w:hAnsi="Calibri" w:cs="Calibri"/>
          <w:b/>
          <w:color w:val="2F5496"/>
          <w:sz w:val="26"/>
          <w:szCs w:val="26"/>
        </w:rPr>
        <w:t>Abgrenzung der Untersuchung</w:t>
      </w:r>
    </w:p>
    <w:p w:rsidR="0047123B" w:rsidRDefault="0047123B" w:rsidP="0047123B">
      <w:pPr>
        <w:spacing w:line="240" w:lineRule="auto"/>
        <w:ind w:right="-122"/>
        <w:rPr>
          <w:sz w:val="24"/>
          <w:szCs w:val="24"/>
        </w:rPr>
      </w:pPr>
    </w:p>
    <w:p w:rsidR="0047123B" w:rsidRDefault="0047123B" w:rsidP="0047123B">
      <w:pPr>
        <w:widowControl w:val="0"/>
        <w:ind w:right="-122"/>
        <w:rPr>
          <w:sz w:val="24"/>
          <w:szCs w:val="24"/>
        </w:rPr>
      </w:pPr>
      <w:r>
        <w:rPr>
          <w:sz w:val="24"/>
          <w:szCs w:val="24"/>
        </w:rPr>
        <w:t>Die Bauschadstoffuntersuchung wurde aufgrund einer visuellen Begutachtung der Oberflächen durchgeführt und beschränkt sich auf die immobilen Bauteile.</w:t>
      </w:r>
    </w:p>
    <w:p w:rsidR="0047123B" w:rsidRDefault="0047123B" w:rsidP="0047123B">
      <w:pPr>
        <w:widowControl w:val="0"/>
        <w:spacing w:before="7" w:line="240" w:lineRule="auto"/>
        <w:ind w:right="-122"/>
        <w:rPr>
          <w:sz w:val="24"/>
          <w:szCs w:val="24"/>
        </w:rPr>
      </w:pPr>
    </w:p>
    <w:p w:rsidR="0047123B" w:rsidRDefault="0047123B" w:rsidP="0047123B">
      <w:pPr>
        <w:widowControl w:val="0"/>
        <w:ind w:right="-122"/>
        <w:rPr>
          <w:sz w:val="24"/>
          <w:szCs w:val="24"/>
        </w:rPr>
      </w:pPr>
      <w:r>
        <w:rPr>
          <w:sz w:val="24"/>
          <w:szCs w:val="24"/>
        </w:rPr>
        <w:t>Die Untersuchung bezieht sich auf die Bauschadstoffe Asbest, PCB und PAK . Weitere allfällig vorhandene Schadstoffe wie Radon, Schimmelpilze, Formaldehyd, etc. waren nicht Gegenstand der Untersuchung.</w:t>
      </w:r>
    </w:p>
    <w:p w:rsidR="0047123B" w:rsidRDefault="0047123B" w:rsidP="0047123B">
      <w:pPr>
        <w:widowControl w:val="0"/>
        <w:spacing w:before="7" w:line="240" w:lineRule="auto"/>
        <w:ind w:right="-122"/>
        <w:rPr>
          <w:sz w:val="24"/>
          <w:szCs w:val="24"/>
        </w:rPr>
      </w:pPr>
    </w:p>
    <w:p w:rsidR="0047123B" w:rsidRDefault="0047123B" w:rsidP="0047123B">
      <w:pPr>
        <w:widowControl w:val="0"/>
        <w:spacing w:line="240" w:lineRule="auto"/>
        <w:ind w:right="-122"/>
        <w:rPr>
          <w:sz w:val="24"/>
          <w:szCs w:val="24"/>
        </w:rPr>
      </w:pPr>
      <w:r>
        <w:rPr>
          <w:sz w:val="24"/>
          <w:szCs w:val="24"/>
        </w:rPr>
        <w:t>Die Wahrscheinlichkeit, dass mit der gewählten Untersuchungsmethode grössere</w:t>
      </w:r>
    </w:p>
    <w:p w:rsidR="0047123B" w:rsidRDefault="0047123B" w:rsidP="0047123B">
      <w:pPr>
        <w:widowControl w:val="0"/>
        <w:spacing w:before="41"/>
        <w:ind w:right="-122"/>
        <w:rPr>
          <w:sz w:val="24"/>
          <w:szCs w:val="24"/>
        </w:rPr>
      </w:pPr>
      <w:r>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spacing w:line="240" w:lineRule="auto"/>
        <w:rPr>
          <w:sz w:val="24"/>
          <w:szCs w:val="24"/>
        </w:rPr>
      </w:pP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5" w:name="_bg4jzxuw7fx" w:colFirst="0" w:colLast="0"/>
      <w:bookmarkEnd w:id="25"/>
      <w:r>
        <w:rPr>
          <w:rFonts w:ascii="Calibri" w:eastAsia="Calibri" w:hAnsi="Calibri" w:cs="Calibri"/>
          <w:b/>
          <w:color w:val="2F5496"/>
          <w:sz w:val="32"/>
          <w:szCs w:val="32"/>
        </w:rPr>
        <w:lastRenderedPageBreak/>
        <w:t>Dringlichkeit von Massnahmen</w:t>
      </w:r>
    </w:p>
    <w:p w:rsidR="0047123B" w:rsidRDefault="0047123B" w:rsidP="0047123B">
      <w:pPr>
        <w:shd w:val="clear" w:color="auto" w:fill="FFFFFF"/>
        <w:spacing w:line="240" w:lineRule="auto"/>
        <w:rPr>
          <w:sz w:val="24"/>
          <w:szCs w:val="24"/>
        </w:rPr>
      </w:pPr>
    </w:p>
    <w:p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rsidR="0047123B" w:rsidRDefault="0047123B" w:rsidP="0047123B">
      <w:pPr>
        <w:shd w:val="clear" w:color="auto" w:fill="FFFFFF"/>
        <w:spacing w:line="240" w:lineRule="auto"/>
        <w:rPr>
          <w:sz w:val="24"/>
          <w:szCs w:val="24"/>
        </w:rPr>
      </w:pPr>
    </w:p>
    <w:p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rsidR="0047123B" w:rsidRDefault="0047123B" w:rsidP="0047123B">
      <w:pPr>
        <w:shd w:val="clear" w:color="auto" w:fill="FFFFFF"/>
        <w:spacing w:line="240" w:lineRule="auto"/>
        <w:rPr>
          <w:b/>
          <w:sz w:val="24"/>
          <w:szCs w:val="24"/>
        </w:rPr>
      </w:pPr>
    </w:p>
    <w:p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rsidR="0047123B" w:rsidRDefault="0047123B" w:rsidP="0047123B">
      <w:pPr>
        <w:pStyle w:val="Heading1"/>
        <w:numPr>
          <w:ilvl w:val="0"/>
          <w:numId w:val="5"/>
        </w:numPr>
        <w:spacing w:before="240" w:after="0" w:line="240" w:lineRule="auto"/>
        <w:rPr>
          <w:rFonts w:ascii="Calibri" w:eastAsia="Calibri" w:hAnsi="Calibri" w:cs="Calibri"/>
          <w:b/>
          <w:color w:val="2F5496"/>
          <w:sz w:val="32"/>
          <w:szCs w:val="32"/>
        </w:rPr>
      </w:pPr>
      <w:bookmarkStart w:id="26" w:name="_e3xy3cve4spy" w:colFirst="0" w:colLast="0"/>
      <w:bookmarkEnd w:id="26"/>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rsidTr="004A1ED8">
        <w:tc>
          <w:tcPr>
            <w:tcW w:w="2269" w:type="dxa"/>
          </w:tcPr>
          <w:p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rsidTr="004A1ED8">
        <w:tc>
          <w:tcPr>
            <w:tcW w:w="2269" w:type="dxa"/>
            <w:shd w:val="clear" w:color="auto" w:fill="FFFF00"/>
          </w:tcPr>
          <w:p w:rsidR="0047123B" w:rsidRDefault="0047123B" w:rsidP="004A1ED8">
            <w:pPr>
              <w:spacing w:line="240" w:lineRule="auto"/>
              <w:jc w:val="right"/>
              <w:rPr>
                <w:rFonts w:ascii="Calibri" w:eastAsia="Calibri" w:hAnsi="Calibri" w:cs="Calibri"/>
                <w:sz w:val="24"/>
                <w:szCs w:val="24"/>
              </w:rPr>
            </w:pP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rsidTr="004A1ED8">
        <w:trPr>
          <w:trHeight w:val="119"/>
        </w:trPr>
        <w:tc>
          <w:tcPr>
            <w:tcW w:w="2269" w:type="dxa"/>
            <w:shd w:val="clear" w:color="auto" w:fill="FF0000"/>
          </w:tcPr>
          <w:p w:rsidR="0047123B" w:rsidRDefault="0047123B" w:rsidP="004A1ED8">
            <w:pPr>
              <w:spacing w:line="240" w:lineRule="auto"/>
              <w:rPr>
                <w:rFonts w:ascii="Calibri" w:eastAsia="Calibri" w:hAnsi="Calibri" w:cs="Calibri"/>
                <w:sz w:val="24"/>
                <w:szCs w:val="24"/>
              </w:rPr>
            </w:pPr>
          </w:p>
        </w:tc>
        <w:tc>
          <w:tcPr>
            <w:tcW w:w="283" w:type="dxa"/>
          </w:tcPr>
          <w:p w:rsidR="0047123B" w:rsidRDefault="0047123B" w:rsidP="004A1ED8">
            <w:pPr>
              <w:spacing w:line="240" w:lineRule="auto"/>
              <w:rPr>
                <w:rFonts w:ascii="Calibri" w:eastAsia="Calibri" w:hAnsi="Calibri" w:cs="Calibri"/>
                <w:sz w:val="24"/>
                <w:szCs w:val="24"/>
              </w:rPr>
            </w:pPr>
          </w:p>
        </w:tc>
        <w:tc>
          <w:tcPr>
            <w:tcW w:w="8222" w:type="dxa"/>
          </w:tcPr>
          <w:p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bookmarkStart w:id="27" w:name="_2s8eyo1" w:colFirst="0" w:colLast="0"/>
      <w:bookmarkEnd w:id="27"/>
      <w:r>
        <w:rPr>
          <w:rFonts w:ascii="Calibri" w:eastAsia="Calibri" w:hAnsi="Calibri" w:cs="Calibri"/>
          <w:color w:val="2F5496"/>
          <w:sz w:val="32"/>
          <w:szCs w:val="32"/>
        </w:rPr>
        <w:lastRenderedPageBreak/>
        <w:t>Übersicht der Bauschadstoffvorkommen mit Sanierungsangaben</w:t>
      </w:r>
    </w:p>
    <w:p w:rsidR="0047123B" w:rsidRDefault="0047123B" w:rsidP="0047123B">
      <w:pPr>
        <w:pStyle w:val="Heading1"/>
        <w:spacing w:before="240" w:after="0" w:line="240" w:lineRule="auto"/>
        <w:ind w:left="432"/>
        <w:rPr>
          <w:rFonts w:ascii="Calibri" w:eastAsia="Calibri" w:hAnsi="Calibri" w:cs="Calibri"/>
          <w:sz w:val="24"/>
          <w:szCs w:val="24"/>
        </w:rPr>
      </w:pPr>
      <w:bookmarkStart w:id="28" w:name="_3rdcrjn" w:colFirst="0" w:colLast="0"/>
      <w:bookmarkEnd w:id="28"/>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rsidR="00DD43B4" w:rsidRDefault="00DD43B4">
      <w:pPr>
        <w:rPr>
          <w:rFonts w:ascii="Calibri" w:eastAsia="Calibri" w:hAnsi="Calibri" w:cs="Calibri"/>
          <w:sz w:val="24"/>
          <w:szCs w:val="24"/>
        </w:rPr>
      </w:pPr>
      <w:r>
        <w:rPr>
          <w:rFonts w:ascii="Calibri" w:eastAsia="Calibri" w:hAnsi="Calibri" w:cs="Calibri"/>
          <w:sz w:val="24"/>
          <w:szCs w:val="24"/>
        </w:rPr>
        <w:br w:type="page"/>
      </w:r>
    </w:p>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r>
        <w:rPr>
          <w:rFonts w:ascii="Calibri" w:eastAsia="Calibri" w:hAnsi="Calibri" w:cs="Calibri"/>
          <w:color w:val="2F5496"/>
          <w:sz w:val="32"/>
          <w:szCs w:val="32"/>
        </w:rPr>
        <w:lastRenderedPageBreak/>
        <w:t xml:space="preserve">Sanierung der Schadstoffe </w:t>
      </w: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rsidR="0047123B" w:rsidRDefault="0047123B" w:rsidP="0047123B">
      <w:pPr>
        <w:spacing w:line="240" w:lineRule="auto"/>
        <w:rPr>
          <w:sz w:val="24"/>
          <w:szCs w:val="24"/>
        </w:rPr>
      </w:pPr>
    </w:p>
    <w:p w:rsidR="0047123B" w:rsidRDefault="0047123B" w:rsidP="0047123B">
      <w:pPr>
        <w:pStyle w:val="Heading2"/>
        <w:numPr>
          <w:ilvl w:val="1"/>
          <w:numId w:val="5"/>
        </w:numPr>
        <w:spacing w:before="40" w:after="0" w:line="240" w:lineRule="auto"/>
        <w:rPr>
          <w:rFonts w:ascii="Calibri" w:eastAsia="Calibri" w:hAnsi="Calibri" w:cs="Calibri"/>
          <w:b/>
          <w:color w:val="2F5496"/>
          <w:sz w:val="26"/>
          <w:szCs w:val="26"/>
        </w:rPr>
      </w:pPr>
      <w:bookmarkStart w:id="31" w:name="_26in1rg" w:colFirst="0" w:colLast="0"/>
      <w:bookmarkEnd w:id="31"/>
      <w:r>
        <w:rPr>
          <w:rFonts w:ascii="Calibri" w:eastAsia="Calibri" w:hAnsi="Calibri" w:cs="Calibri"/>
          <w:b/>
          <w:color w:val="2F5496"/>
          <w:sz w:val="26"/>
          <w:szCs w:val="26"/>
        </w:rPr>
        <w:t>Sanierung durch instruierte Handwerker</w:t>
      </w:r>
    </w:p>
    <w:p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rsidR="0047123B" w:rsidRDefault="0047123B" w:rsidP="0047123B">
      <w:pPr>
        <w:pStyle w:val="Heading1"/>
        <w:numPr>
          <w:ilvl w:val="0"/>
          <w:numId w:val="5"/>
        </w:numPr>
        <w:spacing w:before="240" w:after="0" w:line="240" w:lineRule="auto"/>
        <w:rPr>
          <w:rFonts w:ascii="Calibri" w:eastAsia="Calibri" w:hAnsi="Calibri" w:cs="Calibri"/>
          <w:color w:val="2F5496"/>
          <w:sz w:val="32"/>
          <w:szCs w:val="32"/>
        </w:rPr>
      </w:pPr>
      <w:bookmarkStart w:id="33" w:name="_z337ya" w:colFirst="0" w:colLast="0"/>
      <w:bookmarkEnd w:id="33"/>
      <w:r>
        <w:rPr>
          <w:rFonts w:ascii="Calibri" w:eastAsia="Calibri" w:hAnsi="Calibri" w:cs="Calibri"/>
          <w:color w:val="2F5496"/>
          <w:sz w:val="32"/>
          <w:szCs w:val="32"/>
        </w:rPr>
        <w:lastRenderedPageBreak/>
        <w:t>Entsorgung der Schadstoffe</w:t>
      </w:r>
    </w:p>
    <w:p w:rsidR="0047123B" w:rsidRDefault="0047123B" w:rsidP="0047123B">
      <w:pPr>
        <w:pStyle w:val="Heading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rsidR="0047123B" w:rsidRDefault="0047123B" w:rsidP="0047123B">
      <w:bookmarkStart w:id="34" w:name="OLE_LINK29"/>
      <w:r>
        <w:br w:type="page"/>
      </w:r>
    </w:p>
    <w:p w:rsidR="0047123B" w:rsidRPr="001F7839" w:rsidRDefault="0047123B" w:rsidP="0047123B">
      <w:r>
        <w:rPr>
          <w:rFonts w:ascii="Calibri" w:eastAsia="Calibri" w:hAnsi="Calibri" w:cs="Calibri"/>
          <w:b/>
          <w:color w:val="2F5496"/>
          <w:sz w:val="32"/>
          <w:szCs w:val="32"/>
        </w:rPr>
        <w:lastRenderedPageBreak/>
        <w:t>Empfehlung</w:t>
      </w:r>
      <w:bookmarkEnd w:id="34"/>
    </w:p>
    <w:p w:rsidR="0047123B" w:rsidRDefault="0047123B" w:rsidP="0047123B">
      <w:pPr>
        <w:spacing w:line="240" w:lineRule="auto"/>
        <w:rPr>
          <w:sz w:val="24"/>
          <w:szCs w:val="24"/>
        </w:rPr>
      </w:pPr>
    </w:p>
    <w:p>
      <w:pPr/>
      <w:r>
        <w:rPr/>
        <w:t xml:space="preserve">Basierend auf dem Bericht und den aufgeführten Schadstoffen empfehle ich folgende Maßnahmen für den Abschlussbericht:</w:t>
      </w:r>
      <w:br/>
      <w:r>
        <w:rPr/>
        <w:t xml:space="preserve"/>
      </w:r>
      <w:br/>
      <w:r>
        <w:rPr>
          <w:b w:val="1"/>
          <w:bCs w:val="1"/>
        </w:rPr>
        <w:t xml:space="preserve">1. </w:t>
      </w:r>
      <w:r>
        <w:rPr>
          <w:b w:val="1"/>
          <w:bCs w:val="1"/>
        </w:rPr>
        <w:t xml:space="preserve">Identifikation und Priorisierung der Schadstoffe:</w:t>
      </w:r>
      <w:r>
        <w:rPr/>
        <w:t xml:space="preserve"> </w:t>
      </w:r>
      <w:br/>
      <w:r>
        <w:rPr/>
        <w:t xml:space="preserve">   Beginnen Sie mit einer klaren Auflistung der identifizierten Schadstoffe aus der Tabelle "Übersicht der Bauschadstoffvorkommen". Beschreiben Sie die potenziellen Gesundheits- und Umweltrisiken, die mit diesen Schadstoffen verbunden sind, um den dringenden Handlungsbedarf zu verdeutlichen.</w:t>
      </w:r>
      <w:br/>
      <w:r>
        <w:rPr/>
        <w:t xml:space="preserve"/>
      </w:r>
      <w:br/>
      <w:r>
        <w:rPr>
          <w:b w:val="1"/>
          <w:bCs w:val="1"/>
        </w:rPr>
        <w:t xml:space="preserve">2. </w:t>
      </w:r>
      <w:r>
        <w:rPr>
          <w:b w:val="1"/>
          <w:bCs w:val="1"/>
        </w:rPr>
        <w:t xml:space="preserve">Sanierung durch Schadstoffsanierer:</w:t>
      </w:r>
      <w:r>
        <w:rPr/>
        <w:t xml:space="preserve"/>
      </w:r>
      <w:br/>
      <w:r>
        <w:rPr/>
        <w:t xml:space="preserve">   Die Tabelle "Sanierung durch Schadstoffsanierer" sollte als Grundlage für eine professionelle und umfassende Sanierung dienen. Schadstoffe, die als hochgefährlich eingestuft wurden oder in hohen Konzentrationen vorkommen (gemäß der CSV-Daten), sollten von speziell ausgebildeten Schadstoffsanierern entfernt werden. Weisen Sie darauf hin, dass diese Sanierungen streng nach den gesetzlich vorgeschriebenen Richtlinien und unter Verwendung von LVA Codes durchgeführt werden müssen.</w:t>
      </w:r>
      <w:br/>
      <w:r>
        <w:rPr/>
        <w:t xml:space="preserve"/>
      </w:r>
      <w:br/>
      <w:r>
        <w:rPr>
          <w:b w:val="1"/>
          <w:bCs w:val="1"/>
        </w:rPr>
        <w:t xml:space="preserve">3. </w:t>
      </w:r>
      <w:r>
        <w:rPr>
          <w:b w:val="1"/>
          <w:bCs w:val="1"/>
        </w:rPr>
        <w:t xml:space="preserve">Sanierung durch instruierte Handwerker:</w:t>
      </w:r>
      <w:r>
        <w:rPr/>
        <w:t xml:space="preserve"/>
      </w:r>
      <w:br/>
      <w:r>
        <w:rPr/>
        <w:t xml:space="preserve">   Schadstoffe, die ein geringeres Risiko darstellen oder in kleineren Mengen vorhanden sind (siehe Tabelle "Sanierung durch instruierte Handwerker"), können von entsprechend geschulten Handwerkern behandelt werden. Stellen Sie sicher, dass diese Handwerker detaillierte Anweisungen und Richtlinien erhalten, um eine ordnungsgemäße und sichere Beseitigung der Materialien zu gewährleisten.</w:t>
      </w:r>
      <w:br/>
      <w:r>
        <w:rPr/>
        <w:t xml:space="preserve"/>
      </w:r>
      <w:br/>
      <w:r>
        <w:rPr>
          <w:b w:val="1"/>
          <w:bCs w:val="1"/>
        </w:rPr>
        <w:t xml:space="preserve">4. </w:t>
      </w:r>
      <w:r>
        <w:rPr>
          <w:b w:val="1"/>
          <w:bCs w:val="1"/>
        </w:rPr>
        <w:t xml:space="preserve">Kontrollmaßnahmen und abschließende Bewertungen:</w:t>
      </w:r>
      <w:r>
        <w:rPr/>
        <w:t xml:space="preserve"/>
      </w:r>
      <w:br/>
      <w:r>
        <w:rPr/>
        <w:t xml:space="preserve">   Nach der Sanierung sollte eine erneute Bewertung durch ein unabhängiges Labor durchgeführt werden, um sicherzustellen, dass die Schadstoffe vollständig entfernt wurden. Erwägen Sie regelmäßige Kontrollen, um neue oder verbleibende Schadstoffquellen frühzeitig zu identifizieren und zu adressieren.</w:t>
      </w:r>
      <w:br/>
      <w:r>
        <w:rPr/>
        <w:t xml:space="preserve"/>
      </w:r>
      <w:br/>
      <w:r>
        <w:rPr>
          <w:b w:val="1"/>
          <w:bCs w:val="1"/>
        </w:rPr>
        <w:t xml:space="preserve">5. </w:t>
      </w:r>
      <w:r>
        <w:rPr>
          <w:b w:val="1"/>
          <w:bCs w:val="1"/>
        </w:rPr>
        <w:t xml:space="preserve">Dokumentation und Berichterstattung:</w:t>
      </w:r>
      <w:r>
        <w:rPr/>
        <w:t xml:space="preserve"/>
      </w:r>
      <w:br/>
      <w:r>
        <w:rPr/>
        <w:t xml:space="preserve">   Halten Sie alle Prozesse, Entscheidungen und Ergebnisse detailliert fest, um Transparenz zu gewährleisten und eine nachvollziehbare Dokumentation für spätere Referenz oder gesetzliche Anforderungen zu liefern. </w:t>
      </w:r>
      <w:br/>
      <w:r>
        <w:rPr/>
        <w:t xml:space="preserve"/>
      </w:r>
      <w:br/>
      <w:r>
        <w:rPr/>
        <w:t xml:space="preserve">Diese Empfehlungen sind darauf ausgerichtet, eine sichere und gesunde Umgebung zu gewährleisten und die Einhaltung aller relevanten Normen und Vorschriften sicherzustellen.</w:t>
      </w:r>
      <w:br/>
    </w:p>
    <w:p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6" w:name="_1ksv4uv" w:colFirst="0" w:colLast="0"/>
      <w:bookmarkEnd w:id="0"/>
      <w:bookmarkEnd w:id="36"/>
    </w:p>
    <w:p w:rsidR="003568DE" w:rsidRPr="008824DE" w:rsidRDefault="003568DE" w:rsidP="003568DE">
      <w:pPr>
        <w:spacing w:line="240" w:lineRule="auto"/>
        <w:rPr>
          <w:sz w:val="24"/>
          <w:szCs w:val="24"/>
        </w:rPr>
      </w:pPr>
      <w:bookmarkStart w:id="37" w:name="OLE_LINK2"/>
      <w:r>
        <w:rPr>
          <w:rFonts w:ascii="Calibri" w:eastAsia="Calibri" w:hAnsi="Calibri" w:cs="Calibri"/>
          <w:b/>
          <w:color w:val="2F5496"/>
          <w:sz w:val="32"/>
          <w:szCs w:val="32"/>
        </w:rPr>
        <w:lastRenderedPageBreak/>
        <w:t>Zusätzliche Beigaben</w:t>
      </w:r>
    </w:p>
    <w:p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Gang
</w:t>
            </w:r>
          </w:p>
          <w:p>
            <w:pPr/>
            <w:r>
              <w:rPr/>
              <w:t xml:space="preserve">2. OG
</w:t>
            </w:r>
          </w:p>
        </w:tc>
        <w:tc>
          <w:tcPr>
            <w:noWrap/>
          </w:tcPr>
          <w:p>
            <w:pPr/>
            <w:r>
              <w:rPr/>
              <w:t xml:space="preserve">VM-1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Wohnzimmer / Büro / Schlafzimmer
</w:t>
            </w:r>
          </w:p>
          <w:p>
            <w:pPr/>
            <w:r>
              <w:rPr/>
              <w:t xml:space="preserve">1.OG
</w:t>
            </w:r>
          </w:p>
        </w:tc>
        <w:tc>
          <w:tcPr>
            <w:noWrap/>
          </w:tcPr>
          <w:p>
            <w:pPr/>
            <w:r>
              <w:rPr/>
              <w:t xml:space="preserve">VM-2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Wohnzimmer / Küche
</w:t>
            </w:r>
          </w:p>
          <w:p>
            <w:pPr/>
            <w:r>
              <w:rPr/>
              <w:t xml:space="preserve">1. OG
</w:t>
            </w:r>
          </w:p>
        </w:tc>
        <w:tc>
          <w:tcPr>
            <w:noWrap/>
          </w:tcPr>
          <w:p>
            <w:pPr/>
            <w:r>
              <w:rPr/>
              <w:t xml:space="preserve">VM-4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Gang
</w:t>
            </w:r>
          </w:p>
          <w:p>
            <w:pPr/>
            <w:r>
              <w:rPr/>
              <w:t xml:space="preserve">EG
</w:t>
            </w:r>
          </w:p>
        </w:tc>
        <w:tc>
          <w:tcPr>
            <w:noWrap/>
          </w:tcPr>
          <w:p>
            <w:pPr/>
            <w:r>
              <w:rPr/>
              <w:t xml:space="preserve">VM-3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rsidR="009641C4" w:rsidRDefault="009641C4">
      <w:pPr>
        <w:rPr>
          <w:sz w:val="24"/>
          <w:szCs w:val="24"/>
        </w:rPr>
      </w:pPr>
      <w:r>
        <w:rPr>
          <w:sz w:val="24"/>
          <w:szCs w:val="24"/>
        </w:rPr>
        <w:br w:type="page"/>
      </w:r>
    </w:p>
    <w:p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7"/>
    </w:p>
    <w:p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4B15" w:rsidRDefault="006F4B15">
      <w:pPr>
        <w:spacing w:line="240" w:lineRule="auto"/>
      </w:pPr>
      <w:r>
        <w:separator/>
      </w:r>
    </w:p>
  </w:endnote>
  <w:endnote w:type="continuationSeparator" w:id="0">
    <w:p w:rsidR="006F4B15" w:rsidRDefault="006F4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4B15" w:rsidRDefault="006F4B15">
      <w:pPr>
        <w:spacing w:line="240" w:lineRule="auto"/>
      </w:pPr>
      <w:r>
        <w:separator/>
      </w:r>
    </w:p>
  </w:footnote>
  <w:footnote w:type="continuationSeparator" w:id="0">
    <w:p w:rsidR="006F4B15" w:rsidRDefault="006F4B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7B952AAB" wp14:editId="2492E326">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rsidR="0075688F" w:rsidRDefault="00756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6118" w:rsidRDefault="00A76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1CCA2A8F"/>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2"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3"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4"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5"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7"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4"/>
  </w:num>
  <w:num w:numId="2" w16cid:durableId="1529836759">
    <w:abstractNumId w:val="3"/>
  </w:num>
  <w:num w:numId="3" w16cid:durableId="450131810">
    <w:abstractNumId w:val="7"/>
  </w:num>
  <w:num w:numId="4" w16cid:durableId="1315834406">
    <w:abstractNumId w:val="0"/>
  </w:num>
  <w:num w:numId="5" w16cid:durableId="1698697349">
    <w:abstractNumId w:val="1"/>
  </w:num>
  <w:num w:numId="6" w16cid:durableId="1246719996">
    <w:abstractNumId w:val="6"/>
  </w:num>
  <w:num w:numId="7" w16cid:durableId="81143695">
    <w:abstractNumId w:val="2"/>
  </w:num>
  <w:num w:numId="8" w16cid:durableId="259604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431D24"/>
    <w:rsid w:val="0047123B"/>
    <w:rsid w:val="004C7A30"/>
    <w:rsid w:val="004F3F84"/>
    <w:rsid w:val="0050786D"/>
    <w:rsid w:val="00517E33"/>
    <w:rsid w:val="00543DEA"/>
    <w:rsid w:val="00586ED7"/>
    <w:rsid w:val="0062329B"/>
    <w:rsid w:val="006F4B15"/>
    <w:rsid w:val="00706F97"/>
    <w:rsid w:val="0075688F"/>
    <w:rsid w:val="007F0642"/>
    <w:rsid w:val="008824DE"/>
    <w:rsid w:val="008A5A24"/>
    <w:rsid w:val="008D7176"/>
    <w:rsid w:val="00952054"/>
    <w:rsid w:val="009641C4"/>
    <w:rsid w:val="00991B2D"/>
    <w:rsid w:val="009C7A42"/>
    <w:rsid w:val="009F38C7"/>
    <w:rsid w:val="00A40263"/>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5B91"/>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48</cp:revision>
  <dcterms:created xsi:type="dcterms:W3CDTF">2024-12-20T12:00:00Z</dcterms:created>
  <dcterms:modified xsi:type="dcterms:W3CDTF">2025-01-08T01:51:00Z</dcterms:modified>
</cp:coreProperties>
</file>