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Campliun 7, Trun,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1907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Leo Krähenmann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Leo Krähenmann Poststrasse 8 9217 Neukirch an der Thur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Leo Krähenmann</w:t>
            </w:r>
            <w:bookmarkEnd w:id="12"/>
            <w:r w:rsidRPr="00FF365E">
              <w:rPr>
                <w:sz w:val="24"/>
                <w:szCs w:val="24"/>
                <w:lang w:val="en-GB"/>
              </w:rPr>
              <w:t xml:space="preserve"> </w:t>
            </w:r>
            <w:bookmarkStart w:id="13" w:name="OLE_LINK13"/>
            <w:r w:rsidRPr="00FF365E">
              <w:rPr>
                <w:sz w:val="24"/>
                <w:szCs w:val="24"/>
                <w:lang w:val="en-GB"/>
              </w:rPr>
              <w:t xml:space="preserve">Leo Krähenmann Poststrasse 8 9217 Neukirch an der Thur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WC/Bad
</w:t>
            </w:r>
          </w:p>
          <w:p>
            <w:pPr/>
            <w:r>
              <w:rPr/>
              <w:t xml:space="preserve">Zwischenstock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Dachstock
</w:t>
            </w:r>
          </w:p>
          <w:p>
            <w:pPr/>
            <w:r>
              <w:rPr/>
              <w:t xml:space="preserve">DG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Zimmer
</w:t>
            </w:r>
          </w:p>
          <w:p>
            <w:pPr/>
            <w:r>
              <w:rPr/>
              <w:t xml:space="preserve">DG
</w:t>
            </w:r>
          </w:p>
        </w:tc>
        <w:tc>
          <w:tcPr>
            <w:noWrap/>
          </w:tcPr>
          <w:p>
            <w:pPr/>
            <w:r>
              <w:rPr/>
              <w:t xml:space="preserve">lose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Bad
</w:t>
            </w:r>
          </w:p>
          <w:p>
            <w:pPr/>
            <w:r>
              <w:rPr/>
              <w:t xml:space="preserve">1.OG
</w:t>
            </w:r>
          </w:p>
        </w:tc>
        <w:tc>
          <w:tcPr>
            <w:noWrap/>
          </w:tcPr>
          <w:p>
            <w:pPr/>
            <w:r>
              <w:rPr/>
              <w:t xml:space="preserve"/>
            </w:r>
          </w:p>
        </w:tc>
        <w:tc>
          <w:tcPr>
            <w:noWrap/>
          </w:tcPr>
          <w:p>
            <w:pPr/>
            <w:r>
              <w:rPr/>
              <w:t xml:space="preserve">nicht untersucht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Gang und Zimmer
</w:t>
            </w:r>
          </w:p>
          <w:p>
            <w:pPr/>
            <w:r>
              <w:rPr/>
              <w:t xml:space="preserve">EG
</w:t>
            </w:r>
          </w:p>
        </w:tc>
        <w:tc>
          <w:tcPr>
            <w:noWrap/>
          </w:tcPr>
          <w:p>
            <w:pPr/>
            <w:r>
              <w:rPr/>
              <w:t xml:space="preserve">Elektrospeicheröfen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 Fliesenkleber</w:t>
      </w:r>
      <w:r>
        <w:rPr>
          <w:sz w:val="24"/>
          <w:szCs w:val="24"/>
        </w:rPr>
        <w:t xml:space="preserve"/>
      </w:r>
      <w:br/>
      <w:r>
        <w:rPr>
          <w:sz w:val="24"/>
          <w:szCs w:val="24"/>
        </w:rPr>
        <w:t xml:space="preserve"/>
      </w:r>
      <w:br/>
      <w:r>
        <w:rPr>
          <w:sz w:val="24"/>
          <w:szCs w:val="24"/>
        </w:rPr>
        <w:t xml:space="preserve">Fliesenkleber aus Map 9 im WC/Bad auf dem Zwischenstock enthält Asbest und muss von Schadstoffsanierern nach den Richtlinien EKAS 6503 Kap. 7 entfernt werden. Er ist unter dem LVA-Code 17 06 05 S zu entsorgen.</w:t>
      </w:r>
      <w:br/>
      <w:r>
        <w:rPr>
          <w:sz w:val="24"/>
          <w:szCs w:val="24"/>
        </w:rPr>
        <w:t xml:space="preserve"/>
      </w:r>
      <w:br/>
      <w:r>
        <w:rPr>
          <w:sz w:val="24"/>
          <w:szCs w:val="24"/>
          <w:b w:val="1"/>
          <w:bCs w:val="1"/>
        </w:rPr>
        <w:t xml:space="preserve"/>
      </w:r>
      <w:r>
        <w:rPr>
          <w:sz w:val="24"/>
          <w:szCs w:val="24"/>
          <w:b w:val="1"/>
          <w:bCs w:val="1"/>
        </w:rPr>
        <w:t xml:space="preserve">VB-1 behandeltes Holz</w:t>
      </w:r>
      <w:r>
        <w:rPr>
          <w:sz w:val="24"/>
          <w:szCs w:val="24"/>
        </w:rPr>
        <w:t xml:space="preserve"/>
      </w:r>
      <w:br/>
      <w:r>
        <w:rPr>
          <w:sz w:val="24"/>
          <w:szCs w:val="24"/>
        </w:rPr>
        <w:t xml:space="preserve"/>
      </w:r>
      <w:br/>
      <w:r>
        <w:rPr>
          <w:sz w:val="24"/>
          <w:szCs w:val="24"/>
        </w:rPr>
        <w:t xml:space="preserve">Das behandelte Holz aus dem Dachstock muss von instruierte Handwerker rückgebaut werden, wobei keine bestimmten Richtlinien zu beachten sind. Es ist mit dem LVA-Code 17 02 98 S zu entsorgen.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r>
      <w:br/>
      <w:r>
        <w:rPr>
          <w:sz w:val="24"/>
          <w:szCs w:val="24"/>
        </w:rPr>
        <w:t xml:space="preserve"/>
      </w:r>
      <w:br/>
      <w:r>
        <w:rPr>
          <w:sz w:val="24"/>
          <w:szCs w:val="24"/>
        </w:rPr>
        <w:t xml:space="preserve">LAP aus Zimmer im Dachgeschoss enthält Asbest und muss von Schadstoffsanierern unter Einhaltung der Richtlinien 33036 saniert werden. Der Abfall ist unter dem LVA-Code 17 06 05 S zu entsorgen.</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w:r>
      <w:br/>
      <w:r>
        <w:rPr>
          <w:sz w:val="24"/>
          <w:szCs w:val="24"/>
        </w:rPr>
        <w:t xml:space="preserve"/>
      </w:r>
      <w:br/>
      <w:r>
        <w:rPr>
          <w:sz w:val="24"/>
          <w:szCs w:val="24"/>
        </w:rPr>
        <w:t xml:space="preserve">LAP in Gang und Zimmer im Erdgeschoss muss aufgrund von Asbestverdacht durch Schadstoffsanierer unter den Richtlinien 33036 saniert werden. Es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DG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diverse Fundorte
</w:t>
            </w:r>
          </w:p>
          <w:p>
            <w:pPr/>
            <w:r>
              <w:rPr/>
              <w:t xml:space="preserve">alle Stockwerke
</w:t>
            </w:r>
          </w:p>
        </w:tc>
        <w:tc>
          <w:tcPr>
            <w:shd w:val="clear" w:fill="orange"/>
            <w:noWrap/>
          </w:tcPr>
          <w:p>
            <w:pPr/>
            <w:r>
              <w:rPr/>
              <w:t xml:space="preserve">VM-4
</w:t>
            </w:r>
          </w:p>
          <w:p>
            <w:pPr/>
            <w:r>
              <w:rPr/>
              <w:t xml:space="preserve">Fensterkitt
</w:t>
            </w:r>
          </w:p>
          <w:p>
            <w:pPr/>
            <w:r>
              <w:rPr/>
              <w:t xml:space="preserve">einglasige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DG
</w:t>
            </w:r>
          </w:p>
        </w:tc>
        <w:tc>
          <w:tcPr>
            <w:shd w:val="clear" w:fill="red"/>
            <w:noWrap/>
          </w:tcPr>
          <w:p>
            <w:pPr/>
            <w:r>
              <w:rPr/>
              <w:t xml:space="preserve">VM-5
</w:t>
            </w:r>
          </w:p>
          <w:p>
            <w:pPr/>
            <w:r>
              <w:rPr/>
              <w:t xml:space="preserve">Verputz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
</w:t>
            </w:r>
          </w:p>
          <w:p>
            <w:pPr/>
            <w:r>
              <w:rPr/>
              <w:t xml:space="preserve">zu DG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Stockwerk
</w:t>
            </w:r>
          </w:p>
          <w:p>
            <w:pPr/>
            <w:r>
              <w:rPr/>
              <w:t xml:space="preserve">1.OG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Stockwerk
</w:t>
            </w:r>
          </w:p>
          <w:p>
            <w:pPr/>
            <w:r>
              <w:rPr/>
              <w:t xml:space="preserve">1.OG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1.OG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diverse Fundorte
</w:t>
            </w:r>
          </w:p>
          <w:p>
            <w:pPr/>
            <w:r>
              <w:rPr/>
              <w:t xml:space="preserve">alle Stockwerke
</w:t>
            </w:r>
          </w:p>
        </w:tc>
        <w:tc>
          <w:tcPr>
            <w:shd w:val="clear" w:fill="orange"/>
            <w:noWrap/>
          </w:tcPr>
          <w:p>
            <w:pPr/>
            <w:r>
              <w:rPr/>
              <w:t xml:space="preserve">VM-10
</w:t>
            </w:r>
          </w:p>
          <w:p>
            <w:pPr/>
            <w:r>
              <w:rPr/>
              <w:t xml:space="preserve">Fensterkitt
</w:t>
            </w:r>
          </w:p>
          <w:p>
            <w:pPr/>
            <w:r>
              <w:rPr/>
              <w:t xml:space="preserve">zweifach verglaste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WC/Bad
</w:t>
            </w:r>
          </w:p>
          <w:p>
            <w:pPr/>
            <w:r>
              <w:rPr/>
              <w:t xml:space="preserve">Zwischenstock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Stockwerk
</w:t>
            </w:r>
          </w:p>
          <w:p>
            <w:pPr/>
            <w:r>
              <w:rPr/>
              <w:t xml:space="preserve">EG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VB-1</w:t>
            </w:r>
          </w:p>
        </w:tc>
        <w:tc>
          <w:tcPr>
            <w:shd w:val="clear" w:fill="orange"/>
            <w:noWrap/>
          </w:tcPr>
          <w:p>
            <w:pPr/>
            <w:r>
              <w:rPr/>
              <w:t xml:space="preserve">Dachstock
</w:t>
            </w:r>
          </w:p>
          <w:p>
            <w:pPr/>
            <w:r>
              <w:rPr/>
              <w:t xml:space="preserve">DG
</w:t>
            </w:r>
          </w:p>
        </w:tc>
        <w:tc>
          <w:tcPr>
            <w:shd w:val="clear" w:fill="orange"/>
            <w:noWrap/>
          </w:tcPr>
          <w:p>
            <w:pPr/>
            <w:r>
              <w:rPr/>
              <w:t xml:space="preserve">VM-1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VB-2</w:t>
            </w:r>
          </w:p>
        </w:tc>
        <w:tc>
          <w:tcPr>
            <w:shd w:val="clear" w:fill="red"/>
            <w:noWrap/>
          </w:tcPr>
          <w:p>
            <w:pPr/>
            <w:r>
              <w:rPr/>
              <w:t xml:space="preserve">Zimmer
</w:t>
            </w:r>
          </w:p>
          <w:p>
            <w:pPr/>
            <w:r>
              <w:rPr/>
              <w:t xml:space="preserve">DG
</w:t>
            </w:r>
          </w:p>
        </w:tc>
        <w:tc>
          <w:tcPr>
            <w:shd w:val="clear" w:fill="red"/>
            <w:noWrap/>
          </w:tcPr>
          <w:p>
            <w:pPr/>
            <w:r>
              <w:rPr/>
              <w:t xml:space="preserve">VM-2
</w:t>
            </w:r>
          </w:p>
          <w:p>
            <w:pPr/>
            <w:r>
              <w:rPr/>
              <w:t xml:space="preserve">LAP
</w:t>
            </w:r>
          </w:p>
          <w:p>
            <w:pPr/>
            <w:r>
              <w:rPr/>
              <w:t xml:space="preserve">lose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VB-3</w:t>
            </w:r>
          </w:p>
        </w:tc>
        <w:tc>
          <w:tcPr>
            <w:shd w:val="clear" w:fill="green"/>
            <w:noWrap/>
          </w:tcPr>
          <w:p>
            <w:pPr/>
            <w:r>
              <w:rPr/>
              <w:t xml:space="preserve">Bad
</w:t>
            </w:r>
          </w:p>
          <w:p>
            <w:pPr/>
            <w:r>
              <w:rPr/>
              <w:t xml:space="preserve">1.OG
</w:t>
            </w:r>
          </w:p>
        </w:tc>
        <w:tc>
          <w:tcPr>
            <w:shd w:val="clear" w:fill="green"/>
            <w:noWrap/>
          </w:tcPr>
          <w:p>
            <w:pPr/>
            <w:r>
              <w:rPr/>
              <w:t xml:space="preserve">VM-9
</w:t>
            </w:r>
          </w:p>
          <w:p>
            <w:pPr/>
            <w:r>
              <w:rPr/>
              <w:t xml:space="preserve">nicht untersucht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VB-4</w:t>
            </w:r>
          </w:p>
        </w:tc>
        <w:tc>
          <w:tcPr>
            <w:shd w:val="clear" w:fill="red"/>
            <w:noWrap/>
          </w:tcPr>
          <w:p>
            <w:pPr/>
            <w:r>
              <w:rPr/>
              <w:t xml:space="preserve">Gang und Zimmer
</w:t>
            </w:r>
          </w:p>
          <w:p>
            <w:pPr/>
            <w:r>
              <w:rPr/>
              <w:t xml:space="preserve">EG
</w:t>
            </w:r>
          </w:p>
        </w:tc>
        <w:tc>
          <w:tcPr>
            <w:shd w:val="clear" w:fill="red"/>
            <w:noWrap/>
          </w:tcPr>
          <w:p>
            <w:pPr/>
            <w:r>
              <w:rPr/>
              <w:t xml:space="preserve">VM-12
</w:t>
            </w:r>
          </w:p>
          <w:p>
            <w:pPr/>
            <w:r>
              <w:rPr/>
              <w:t xml:space="preserve">LAP
</w:t>
            </w:r>
          </w:p>
          <w:p>
            <w:pPr/>
            <w:r>
              <w:rPr/>
              <w:t xml:space="preserve">Elektrospeicheröfen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