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Juchstrasse 41, 9548 Matzingen,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29</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824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ALPA AG</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INN-mobilien Invest AG Gewerbestrasse 7, 9052 Niederteufen</w:t>
              <w:br/>
              <w:t>Inn-</w:t>
              <w:br/>
              <w:t>9052 Niederteufen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ALPA AG</w:t>
            </w:r>
            <w:bookmarkEnd w:id="12"/>
            <w:r w:rsidRPr="00FF365E">
              <w:rPr>
                <w:sz w:val="24"/>
                <w:szCs w:val="24"/>
                <w:lang w:val="en-GB"/>
              </w:rPr>
              <w:t xml:space="preserve"> </w:t>
            </w:r>
            <w:bookmarkStart w:id="13" w:name="OLE_LINK13"/>
            <w:r w:rsidRPr="00FF365E">
              <w:rPr>
                <w:sz w:val="24"/>
                <w:szCs w:val="24"/>
                <w:lang w:val="en-GB"/>
              </w:rPr>
              <w:t xml:space="preserve">INN-mobilien Invest AG Gewerbestrasse 7, 9052 Niederteufen</w:t>
              <w:br/>
              <w:t>Inn-</w:t>
              <w:br/>
              <w:t>9052 Niederteufen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01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VB-2</w:t>
            </w:r>
          </w:p>
        </w:tc>
        <w:tc>
          <w:tcPr>
            <w:noWrap/>
          </w:tcPr>
          <w:p>
            <w:pPr/>
            <w:r>
              <w:rPr/>
              <w:t xml:space="preserve">Treppenhaus
</w:t>
            </w:r>
          </w:p>
          <w:p>
            <w:pPr/>
            <w:r>
              <w:rPr/>
              <w:t xml:space="preserve">OG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VB-2</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VB-2 LAP</w:t>
      </w:r>
      <w:r>
        <w:rPr>
          <w:sz w:val="24"/>
          <w:szCs w:val="24"/>
        </w:rPr>
        <w:t xml:space="preserve"/>
      </w:r>
      <w:br/>
      <w:r>
        <w:rPr>
          <w:sz w:val="24"/>
          <w:szCs w:val="24"/>
        </w:rPr>
        <w:t xml:space="preserve"/>
      </w:r>
      <w:br/>
      <w:r>
        <w:rPr>
          <w:sz w:val="24"/>
          <w:szCs w:val="24"/>
        </w:rPr>
        <w:t xml:space="preserve">LAP aus VB-2 befindet sich im Elektrotableau des Treppenhauses im Obergeschoss und weist eine Asbestbelastung auf. Die Sanierung muss durch Schadstoffsanierer nach den Richtlinien 33036 durchgeführt werden und das Material ist mit dem LVA 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Dusche
</w:t>
            </w:r>
          </w:p>
          <w:p>
            <w:pPr/>
            <w:r>
              <w:rPr/>
              <w:t xml:space="preserve">OG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Dusche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Dusche
</w:t>
            </w:r>
          </w:p>
          <w:p>
            <w:pPr/>
            <w:r>
              <w:rPr/>
              <w:t xml:space="preserve">OG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Schlafzimner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Schlafzimner
</w:t>
            </w:r>
          </w:p>
          <w:p>
            <w:pPr/>
            <w:r>
              <w:rPr/>
              <w:t xml:space="preserve">OG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Treppenhaus / Gang
</w:t>
            </w:r>
          </w:p>
          <w:p>
            <w:pPr/>
            <w:r>
              <w:rPr/>
              <w:t xml:space="preserve">OG - 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Treppenhaus / Gang
</w:t>
            </w:r>
          </w:p>
          <w:p>
            <w:pPr/>
            <w:r>
              <w:rPr/>
              <w:t xml:space="preserve">OG - UG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Treppenhaus / Gang
</w:t>
            </w:r>
          </w:p>
          <w:p>
            <w:pPr/>
            <w:r>
              <w:rPr/>
              <w:t xml:space="preserve">OG - UG
</w:t>
            </w:r>
          </w:p>
          <w:p>
            <w:pPr/>
            <w:r>
              <w:rPr/>
              <w:t xml:space="preserve">Boden
</w:t>
            </w:r>
          </w:p>
        </w:tc>
        <w:tc>
          <w:tcPr>
            <w:shd w:val="clear" w:fill="red"/>
            <w:noWrap/>
          </w:tcPr>
          <w:p>
            <w:pPr/>
            <w:r>
              <w:rPr/>
              <w:t xml:space="preserve">VM-5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Bad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Küche / Wohnzimmer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Keller
</w:t>
            </w:r>
          </w:p>
          <w:p>
            <w:pPr/>
            <w:r>
              <w:rPr/>
              <w:t xml:space="preserve">UG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MaP-17</w:t>
            </w:r>
          </w:p>
        </w:tc>
        <w:tc>
          <w:tcPr>
            <w:shd w:val="clear" w:fill="red"/>
            <w:noWrap/>
          </w:tcPr>
          <w:p>
            <w:pPr/>
            <w:r>
              <w:rPr/>
              <w:t xml:space="preserve">Dusche / Heizraum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MaP-18</w:t>
            </w:r>
          </w:p>
        </w:tc>
        <w:tc>
          <w:tcPr>
            <w:shd w:val="clear" w:fill="red"/>
            <w:noWrap/>
          </w:tcPr>
          <w:p>
            <w:pPr/>
            <w:r>
              <w:rPr/>
              <w:t xml:space="preserve">Garage
</w:t>
            </w:r>
          </w:p>
          <w:p>
            <w:pPr/>
            <w:r>
              <w:rPr/>
              <w:t xml:space="preserve">UG
</w:t>
            </w:r>
          </w:p>
          <w:p>
            <w:pPr/>
            <w:r>
              <w:rPr/>
              <w:t xml:space="preserve">Wand / Decke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MaP-19</w:t>
            </w:r>
          </w:p>
        </w:tc>
        <w:tc>
          <w:tcPr>
            <w:shd w:val="clear" w:fill="red"/>
            <w:noWrap/>
          </w:tcPr>
          <w:p>
            <w:pPr/>
            <w:r>
              <w:rPr/>
              <w:t xml:space="preserve">Fassade
</w:t>
            </w:r>
          </w:p>
          <w:p>
            <w:pPr/>
            <w:r>
              <w:rPr/>
              <w:t xml:space="preserve">EG -DG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MaP-20</w:t>
            </w:r>
          </w:p>
        </w:tc>
        <w:tc>
          <w:tcPr>
            <w:shd w:val="clear" w:fill="red"/>
            <w:noWrap/>
          </w:tcPr>
          <w:p>
            <w:pPr/>
            <w:r>
              <w:rPr/>
              <w:t xml:space="preserve">Sockel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VM-6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1" o:title=""/>
                </v:shape>
              </w:pict>
              <w:t xml:space="preserve"/>
            </w:r>
          </w:p>
        </w:tc>
        <w:tc>
          <w:tcPr>
            <w:shd w:val="clear" w:fill="orange"/>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VB-2</w:t>
            </w:r>
          </w:p>
        </w:tc>
        <w:tc>
          <w:tcPr>
            <w:shd w:val="clear" w:fill="red"/>
            <w:noWrap/>
          </w:tcPr>
          <w:p>
            <w:pPr/>
            <w:r>
              <w:rPr/>
              <w:t xml:space="preserve">Treppenhaus
</w:t>
            </w:r>
          </w:p>
          <w:p>
            <w:pPr/>
            <w:r>
              <w:rPr/>
              <w:t xml:space="preserve">OG
</w:t>
            </w:r>
          </w:p>
          <w:p>
            <w:pPr/>
            <w:r>
              <w:rPr/>
              <w:t xml:space="preserve">Elektrotableau
</w:t>
            </w:r>
          </w:p>
        </w:tc>
        <w:tc>
          <w:tcPr>
            <w:shd w:val="clear" w:fill="red"/>
            <w:noWrap/>
          </w:tcPr>
          <w:p>
            <w:pPr/>
            <w:r>
              <w:rPr/>
              <w:t xml:space="preserve">VM-8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orange"/>
            <w:noWrap/>
          </w:tcPr>
          <w:p>
            <w:pPr/>
            <w:r>
              <w:rPr/>
              <w:t xml:space="preserve">VB-3</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VM-7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5" o:title=""/>
                </v:shape>
              </w:pict>
              <w:t xml:space="preserve"/>
            </w:r>
          </w:p>
        </w:tc>
        <w:tc>
          <w:tcPr>
            <w:shd w:val="clear" w:fill="orange"/>
            <w:noWrap/>
          </w:tcPr>
          <w:p>
            <w:pPr/>
            <w:r>
              <w:rPr/>
              <w:t xml:space="preserve"/>
              <w:pict>
                <v:shape type="#_x0000_t75" style="width:100px;height:150px" stroked="f" filled="f">
                  <v:imagedata r:id="rId6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