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Schalchenstrasse 4, Pfäffikon,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11244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820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Sanierung/Umbau mit Checkliste.</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Corinne Ameseder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Ruth und Hans Zurbrügg an der Schalchenstrasse 4, in Hermatswil, 8330 Pfäffikon ZH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Corinne Ameseder</w:t>
            </w:r>
            <w:bookmarkEnd w:id="12"/>
            <w:r w:rsidRPr="00FF365E">
              <w:rPr>
                <w:sz w:val="24"/>
                <w:szCs w:val="24"/>
                <w:lang w:val="en-GB"/>
              </w:rPr>
              <w:t xml:space="preserve"> </w:t>
            </w:r>
            <w:bookmarkStart w:id="13" w:name="OLE_LINK13"/>
            <w:r w:rsidRPr="00FF365E">
              <w:rPr>
                <w:sz w:val="24"/>
                <w:szCs w:val="24"/>
                <w:lang w:val="en-GB"/>
              </w:rPr>
              <w:t xml:space="preserve">Ruth und Hans Zurbrügg an der Schalchenstrasse 4, in Hermatswil, 8330 Pfäffikon ZH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17, Material Faserzement:</w:t>
      </w:r>
      <w:r>
        <w:rPr>
          <w:sz w:val="24"/>
          <w:szCs w:val="24"/>
        </w:rPr>
        <w:t xml:space="preserve"/>
      </w:r>
      <w:br/>
      <w:r>
        <w:rPr>
          <w:sz w:val="24"/>
          <w:szCs w:val="24"/>
        </w:rPr>
        <w:t xml:space="preserve">Faserzement kann durch instruierte Handwerker rückgebaut werden, wenn die Richtlinien 33031 beachtet werden. Die Entsorgung erfolgt mit dem LVA-Code 17 06 98nk in einer Deponie Typ B.</w:t>
      </w:r>
      <w:br/>
      <w:r>
        <w:rPr>
          <w:sz w:val="24"/>
          <w:szCs w:val="24"/>
        </w:rPr>
        <w:t xml:space="preserve"/>
      </w:r>
      <w:br/>
      <w:r>
        <w:rPr>
          <w:sz w:val="24"/>
          <w:szCs w:val="24"/>
          <w:b w:val="1"/>
          <w:bCs w:val="1"/>
        </w:rPr>
        <w:t xml:space="preserve"/>
      </w:r>
      <w:r>
        <w:rPr>
          <w:sz w:val="24"/>
          <w:szCs w:val="24"/>
          <w:b w:val="1"/>
          <w:bCs w:val="1"/>
        </w:rPr>
        <w:t xml:space="preserve">Probe-ID 18, Material Gipskartonplatte:</w:t>
      </w:r>
      <w:r>
        <w:rPr>
          <w:sz w:val="24"/>
          <w:szCs w:val="24"/>
        </w:rPr>
        <w:t xml:space="preserve"/>
      </w:r>
      <w:br/>
      <w:r>
        <w:rPr>
          <w:sz w:val="24"/>
          <w:szCs w:val="24"/>
        </w:rPr>
        <w:t xml:space="preserve">Gipskartonplatten sind von instruieren Handwerkern unter Einhaltung der Richtlinien 53016 rückzubauen. Das Material ist mit dem LVA-Code 17 08 02nk in einer Deponie Typ A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Estrich
</w:t>
            </w:r>
          </w:p>
          <w:p>
            <w:pPr/>
            <w:r>
              <w:rPr/>
              <w:t xml:space="preserve">DG
</w:t>
            </w:r>
          </w:p>
          <w:p>
            <w:pPr/>
            <w:r>
              <w:rPr/>
              <w:t xml:space="preserve">Kamin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Estrich
</w:t>
            </w:r>
          </w:p>
          <w:p>
            <w:pPr/>
            <w:r>
              <w:rPr/>
              <w:t xml:space="preserve">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green"/>
            <w:noWrap/>
          </w:tcPr>
          <w:p>
            <w:pPr/>
            <w:r>
              <w:rPr/>
              <w:t xml:space="preserve">MaP-4</w:t>
            </w:r>
          </w:p>
        </w:tc>
        <w:tc>
          <w:tcPr>
            <w:shd w:val="clear" w:fill="green"/>
            <w:noWrap/>
          </w:tcPr>
          <w:p>
            <w:pPr/>
            <w:r>
              <w:rPr/>
              <w:t xml:space="preserve">Estrich
</w:t>
            </w:r>
          </w:p>
          <w:p>
            <w:pPr/>
            <w:r>
              <w:rPr/>
              <w:t xml:space="preserve">DG
</w:t>
            </w:r>
          </w:p>
          <w:p>
            <w:pPr/>
            <w:r>
              <w:rPr/>
              <w:t xml:space="preserve">Boden
</w:t>
            </w:r>
          </w:p>
        </w:tc>
        <w:tc>
          <w:tcPr>
            <w:shd w:val="clear" w:fill="green"/>
            <w:noWrap/>
          </w:tcPr>
          <w:p>
            <w:pPr/>
            <w:r>
              <w:rPr/>
              <w:t xml:space="preserve">VM-4
</w:t>
            </w:r>
          </w:p>
          <w:p>
            <w:pPr/>
            <w:r>
              <w:rPr/>
              <w:t xml:space="preserve">Schlake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 o:title=""/>
                </v:shape>
              </w:pict>
              <w:t xml:space="preserve"/>
            </w:r>
          </w:p>
        </w:tc>
        <w:tc>
          <w:tcPr>
            <w:shd w:val="clear" w:fill="green"/>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