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DN 82 Dorfstrasse 29, Mogelsberg, Suisse</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82</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Umbau</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Brosi</w:t>
            </w:r>
            <w:bookmarkEnd w:id="12"/>
            <w:r>
              <w:rPr>
                <w:sz w:val="24"/>
                <w:szCs w:val="24"/>
              </w:rPr>
              <w:t xml:space="preserve"> </w:t>
            </w:r>
            <w:bookmarkStart w:id="13" w:name="OLE_LINK13"/>
            <w:r>
              <w:rPr>
                <w:sz w:val="24"/>
                <w:szCs w:val="24"/>
              </w:rPr>
              <w:t>079 816 97 48</w:t>
            </w:r>
            <w:bookmarkEnd w:id="13"/>
          </w:p>
          <w:p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2025-01-10</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Claudio Tavella</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20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Claudio Tavella</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MaP-3</w:t>
            </w:r>
          </w:p>
        </w:tc>
        <w:tc>
          <w:tcPr>
            <w:noWrap/>
          </w:tcPr>
          <w:p>
            <w:pPr/>
            <w:r>
              <w:rPr/>
              <w:t xml:space="preserve">Treppenhaus / Gang
</w:t>
            </w:r>
          </w:p>
          <w:p>
            <w:pPr/>
            <w:r>
              <w:rPr/>
              <w:t xml:space="preserve">2.OG / 1.OG / 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MaP-7</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MaP-8</w:t>
            </w:r>
          </w:p>
        </w:tc>
        <w:tc>
          <w:tcPr>
            <w:noWrap/>
          </w:tcPr>
          <w:p>
            <w:pPr/>
            <w:r>
              <w:rPr/>
              <w:t xml:space="preserve">Treppenhaus / Gang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MaP-12</w:t>
            </w:r>
          </w:p>
        </w:tc>
        <w:tc>
          <w:tcPr>
            <w:noWrap/>
          </w:tcPr>
          <w:p>
            <w:pPr/>
            <w:r>
              <w:rPr/>
              <w:t xml:space="preserve">Bad
</w:t>
            </w:r>
          </w:p>
          <w:p>
            <w:pPr/>
            <w:r>
              <w:rPr/>
              <w:t xml:space="preserve">1.OG
</w:t>
            </w:r>
          </w:p>
          <w:p>
            <w:pPr/>
            <w:r>
              <w:rPr/>
              <w:t xml:space="preserve">Wand
</w:t>
            </w:r>
          </w:p>
        </w:tc>
        <w:tc>
          <w:tcPr>
            <w:noWrap/>
          </w:tcPr>
          <w:p>
            <w:pPr/>
            <w:r>
              <w:rPr/>
              <w:t xml:space="preserve">Wand</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MaP-15</w:t>
            </w:r>
          </w:p>
        </w:tc>
        <w:tc>
          <w:tcPr>
            <w:noWrap/>
          </w:tcPr>
          <w:p>
            <w:pPr/>
            <w:r>
              <w:rPr/>
              <w:t xml:space="preserve">WC
</w:t>
            </w:r>
          </w:p>
          <w:p>
            <w:pPr/>
            <w:r>
              <w:rPr/>
              <w:t xml:space="preserve">EG/1.OG
</w:t>
            </w:r>
          </w:p>
          <w:p>
            <w:pPr/>
            <w:r>
              <w:rPr/>
              <w:t xml:space="preserve">Wand
</w:t>
            </w:r>
          </w:p>
        </w:tc>
        <w:tc>
          <w:tcPr>
            <w:noWrap/>
          </w:tcPr>
          <w:p>
            <w:pPr/>
            <w:r>
              <w:rPr/>
              <w:t xml:space="preserve">Wand</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MaP-17</w:t>
            </w:r>
          </w:p>
        </w:tc>
        <w:tc>
          <w:tcPr>
            <w:noWrap/>
          </w:tcPr>
          <w:p>
            <w:pPr/>
            <w:r>
              <w:rPr/>
              <w:t xml:space="preserve">Fassade
</w:t>
            </w:r>
          </w:p>
          <w:p>
            <w:pPr/>
            <w:r>
              <w:rPr/>
              <w:t xml:space="preserve">2.OG / 1.OG/ 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Gang
</w:t>
            </w:r>
          </w:p>
          <w:p>
            <w:pPr/>
            <w:r>
              <w:rPr/>
              <w:t xml:space="preserve">UG
</w:t>
            </w:r>
          </w:p>
          <w:p>
            <w:pPr/>
            <w:r>
              <w:rPr/>
              <w:t xml:space="preserve">Wand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MaP-3</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MaP-7</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MaP-8</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MaP-12</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MaP-15</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MaP-17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MaP-12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MaP-15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MaP-17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Empfehlung:</w:t>
      </w:r>
      <w:br/>
      <w:r>
        <w:rPr/>
        <w:t xml:space="preserve"/>
      </w:r>
      <w:br/>
      <w:r>
        <w:rPr/>
        <w:t xml:space="preserve">Basierend auf dem vorliegenden Bericht empfehlen wir die folgenden Maßnahmen zur Sanierung der festgestellten Schadstoffe:</w:t>
      </w:r>
      <w:br/>
      <w:r>
        <w:rPr/>
        <w:t xml:space="preserve"/>
      </w:r>
      <w:br/>
      <w:r>
        <w:rPr>
          <w:b w:val="1"/>
          <w:bCs w:val="1"/>
        </w:rPr>
        <w:t xml:space="preserve">1. </w:t>
      </w:r>
      <w:r>
        <w:rPr>
          <w:b w:val="1"/>
          <w:bCs w:val="1"/>
        </w:rPr>
        <w:t xml:space="preserve">Asbest</w:t>
      </w:r>
      <w:r>
        <w:rPr/>
        <w:t xml:space="preserve">: In der Analyse wurde Asbest im Asbestkarton im Untergeschoss des Gebäudes festgestellt (Probenbezeichnung VB-1). Aufgrund der potenziellen Gesundheitsrisiken, die von Asbest ausgehen, sollte die Sanierung unbedingt von einem spezialisierten Schadstoffsanierer durchgeführt werden. Asbestfasern sind bekanntlich krebserregend, weshalb eine fachgerechte Entfernung unter Beachtung aller Sicherheits- und Umweltvorschriften notwendig ist. Die Probe-ID VB-1 ist im Sanierungsplan bereits vorgesehen, wobei auf den dafür vorgesehenen LVA-Code 17 06 05 S zu achten ist.</w:t>
      </w:r>
      <w:br/>
      <w:r>
        <w:rPr/>
        <w:t xml:space="preserve"/>
      </w:r>
      <w:br/>
      <w:r>
        <w:rPr>
          <w:b w:val="1"/>
          <w:bCs w:val="1"/>
        </w:rPr>
        <w:t xml:space="preserve">2. </w:t>
      </w:r>
      <w:r>
        <w:rPr>
          <w:b w:val="1"/>
          <w:bCs w:val="1"/>
        </w:rPr>
        <w:t xml:space="preserve">Sanierungsmethoden und Verantwortlichkeiten</w:t>
      </w:r>
      <w:r>
        <w:rPr/>
        <w:t xml:space="preserve">: Die Berichte aus 8.1. und 8.2. legen dar, dass bestimmte Materialien, wie der identifizierte Asbestkarton, gemäß Richtlinien (DKS 33064) zu entsorgen sind. Hierbei sollten schadstoffsichere Verfahren Anwendung finden, um eine Gefährdung für die Sanierungsarbeiter sowie die Umgebung auszuschließen.</w:t>
      </w:r>
      <w:br/>
      <w:r>
        <w:rPr/>
        <w:t xml:space="preserve"/>
      </w:r>
      <w:br/>
      <w:r>
        <w:rPr/>
        <w:t xml:space="preserve">Zusammenfassend ist die Dringlichkeit der Sanierung von Asbest-kontaminierten Materialien hervorzuheben. Bitte sorgen Sie dafür, dass alle Arbeiten in Übereinstimmung mit den geltenden Vorschriften erfolgen und dass die Verantwortlichen entsprechend instruiert und ausgerüstet sind. Eine abschließende Prüfung durch ein unabhängiges Labor wird empfohlen, um die erfolgreiche Beseitigung der Schadstoffe zu bestätigen.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2.OG
</w:t>
            </w:r>
          </w:p>
        </w:tc>
        <w:tc>
          <w:tcPr>
            <w:noWrap/>
          </w:tcPr>
          <w:p>
            <w:pPr/>
            <w:r>
              <w:rPr/>
              <w:t xml:space="preserve">VM-5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Abstellraum
</w:t>
            </w:r>
          </w:p>
          <w:p>
            <w:pPr/>
            <w:r>
              <w:rPr/>
              <w:t xml:space="preserve">2.OG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Treppenhaus / Gang
</w:t>
            </w:r>
          </w:p>
          <w:p>
            <w:pPr/>
            <w:r>
              <w:rPr/>
              <w:t xml:space="preserve">2.OG / 1.OG / EG
</w:t>
            </w:r>
          </w:p>
        </w:tc>
        <w:tc>
          <w:tcPr>
            <w:noWrap/>
          </w:tcPr>
          <w:p>
            <w:pPr/>
            <w:r>
              <w:rPr/>
              <w:t xml:space="preserve">VM-7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Schlafzimmer
</w:t>
            </w:r>
          </w:p>
          <w:p>
            <w:pPr/>
            <w:r>
              <w:rPr/>
              <w:t xml:space="preserve">1.OG
</w:t>
            </w:r>
          </w:p>
        </w:tc>
        <w:tc>
          <w:tcPr>
            <w:noWrap/>
          </w:tcPr>
          <w:p>
            <w:pPr/>
            <w:r>
              <w:rPr/>
              <w:t xml:space="preserve">VM-8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Bad
</w:t>
            </w:r>
          </w:p>
          <w:p>
            <w:pPr/>
            <w:r>
              <w:rPr/>
              <w:t xml:space="preserve">1.OG
</w:t>
            </w:r>
          </w:p>
        </w:tc>
        <w:tc>
          <w:tcPr>
            <w:noWrap/>
          </w:tcPr>
          <w:p>
            <w:pPr/>
            <w:r>
              <w:rPr/>
              <w:t xml:space="preserve">VM-9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Bad
</w:t>
            </w:r>
          </w:p>
          <w:p>
            <w:pPr/>
            <w:r>
              <w:rPr/>
              <w:t xml:space="preserve">1.OG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WC
</w:t>
            </w:r>
          </w:p>
          <w:p>
            <w:pPr/>
            <w:r>
              <w:rPr/>
              <w:t xml:space="preserve">EG
</w:t>
            </w:r>
          </w:p>
        </w:tc>
        <w:tc>
          <w:tcPr>
            <w:noWrap/>
          </w:tcPr>
          <w:p>
            <w:pPr/>
            <w:r>
              <w:rPr/>
              <w:t xml:space="preserve">VM-11
</w:t>
            </w:r>
          </w:p>
          <w:p>
            <w:pPr/>
            <w:r>
              <w:rPr/>
              <w:t xml:space="preserve">(elastische) Bodenbeläge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Treppenhaus / Gang
</w:t>
            </w:r>
          </w:p>
          <w:p>
            <w:pPr/>
            <w:r>
              <w:rPr/>
              <w:t xml:space="preserve">EG
</w:t>
            </w:r>
          </w:p>
        </w:tc>
        <w:tc>
          <w:tcPr>
            <w:noWrap/>
          </w:tcPr>
          <w:p>
            <w:pPr/>
            <w:r>
              <w:rPr/>
              <w:t xml:space="preserve">VM-12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Gang / Waschküche
</w:t>
            </w:r>
          </w:p>
          <w:p>
            <w:pPr/>
            <w:r>
              <w:rPr/>
              <w:t xml:space="preserve">UG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Technikraum
</w:t>
            </w:r>
          </w:p>
          <w:p>
            <w:pPr/>
            <w:r>
              <w:rPr/>
              <w:t xml:space="preserve">UG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Schlafzimmer
</w:t>
            </w:r>
          </w:p>
          <w:p>
            <w:pPr/>
            <w:r>
              <w:rPr/>
              <w:t xml:space="preserve">2.OG
</w:t>
            </w:r>
          </w:p>
        </w:tc>
        <w:tc>
          <w:tcPr>
            <w:noWrap/>
          </w:tcPr>
          <w:p>
            <w:pPr/>
            <w:r>
              <w:rPr/>
              <w:t xml:space="preserve">VM-16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Bad
</w:t>
            </w:r>
          </w:p>
          <w:p>
            <w:pPr/>
            <w:r>
              <w:rPr/>
              <w:t xml:space="preserve">1.OG
</w:t>
            </w:r>
          </w:p>
        </w:tc>
        <w:tc>
          <w:tcPr>
            <w:noWrap/>
          </w:tcPr>
          <w:p>
            <w:pPr/>
            <w:r>
              <w:rPr/>
              <w:t xml:space="preserve">VM-17
</w:t>
            </w:r>
          </w:p>
          <w:p>
            <w:pPr/>
            <w:r>
              <w:rPr/>
              <w:t xml:space="preserve">(elastische) Bodenbeläge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Bad
</w:t>
            </w:r>
          </w:p>
          <w:p>
            <w:pPr/>
            <w:r>
              <w:rPr/>
              <w:t xml:space="preserve">1.OG
</w:t>
            </w:r>
          </w:p>
        </w:tc>
        <w:tc>
          <w:tcPr>
            <w:noWrap/>
          </w:tcPr>
          <w:p>
            <w:pPr/>
            <w:r>
              <w:rPr/>
              <w:t xml:space="preserve">VM-18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Gang / WC/ Treppenhaus
</w:t>
            </w:r>
          </w:p>
          <w:p>
            <w:pPr/>
            <w:r>
              <w:rPr/>
              <w:t xml:space="preserve">EG/ 1.OG / 2.OG
</w:t>
            </w:r>
          </w:p>
        </w:tc>
        <w:tc>
          <w:tcPr>
            <w:noWrap/>
          </w:tcPr>
          <w:p>
            <w:pPr/>
            <w:r>
              <w:rPr/>
              <w:t xml:space="preserve">VM-19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WC
</w:t>
            </w:r>
          </w:p>
          <w:p>
            <w:pPr/>
            <w:r>
              <w:rPr/>
              <w:t xml:space="preserve">EG/1.OG
</w:t>
            </w:r>
          </w:p>
        </w:tc>
        <w:tc>
          <w:tcPr>
            <w:noWrap/>
          </w:tcPr>
          <w:p>
            <w:pPr/>
            <w:r>
              <w:rPr/>
              <w:t xml:space="preserve">VM-20
</w:t>
            </w:r>
          </w:p>
          <w:p>
            <w:pPr/>
            <w:r>
              <w:rPr/>
              <w:t xml:space="preserve">(elastische) Bodenbeläge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Terrasse
</w:t>
            </w:r>
          </w:p>
          <w:p>
            <w:pPr/>
            <w:r>
              <w:rPr/>
              <w:t xml:space="preserve">EG
</w:t>
            </w:r>
          </w:p>
        </w:tc>
        <w:tc>
          <w:tcPr>
            <w:noWrap/>
          </w:tcPr>
          <w:p>
            <w:pPr/>
            <w:r>
              <w:rPr/>
              <w:t xml:space="preserve">VM-21
</w:t>
            </w:r>
          </w:p>
          <w:p>
            <w:pPr/>
            <w:r>
              <w:rPr/>
              <w:t xml:space="preserve">Gussasphalt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Fassade
</w:t>
            </w:r>
          </w:p>
          <w:p>
            <w:pPr/>
            <w:r>
              <w:rPr/>
              <w:t xml:space="preserve">2.OG / 1.OG/ EG
</w:t>
            </w:r>
          </w:p>
        </w:tc>
        <w:tc>
          <w:tcPr>
            <w:noWrap/>
          </w:tcPr>
          <w:p>
            <w:pPr/>
            <w:r>
              <w:rPr/>
              <w:t xml:space="preserve">VM-22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Gang
</w:t>
            </w:r>
          </w:p>
          <w:p>
            <w:pPr/>
            <w:r>
              <w:rPr/>
              <w:t xml:space="preserve">UG
</w:t>
            </w:r>
          </w:p>
        </w:tc>
        <w:tc>
          <w:tcPr>
            <w:noWrap/>
          </w:tcPr>
          <w:p>
            <w:pPr/>
            <w:r>
              <w:rPr/>
              <w:t xml:space="preserve">VM-23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Sockel
</w:t>
            </w:r>
          </w:p>
          <w:p>
            <w:pPr/>
            <w:r>
              <w:rPr/>
              <w:t xml:space="preserve">EG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Garage
</w:t>
            </w:r>
          </w:p>
          <w:p>
            <w:pPr/>
            <w:r>
              <w:rPr/>
              <w:t xml:space="preserve">UG
</w:t>
            </w:r>
          </w:p>
        </w:tc>
        <w:tc>
          <w:tcPr>
            <w:noWrap/>
          </w:tcPr>
          <w:p>
            <w:pPr/>
            <w:r>
              <w:rPr/>
              <w:t xml:space="preserve">VM-25
</w:t>
            </w:r>
          </w:p>
          <w:p>
            <w:pPr/>
            <w:r>
              <w:rPr/>
              <w:t xml:space="preserve">Leichtbauelemente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VB-1</w:t>
            </w:r>
          </w:p>
        </w:tc>
        <w:tc>
          <w:tcPr>
            <w:noWrap/>
          </w:tcPr>
          <w:p>
            <w:pPr/>
            <w:r>
              <w:rPr/>
              <w:t xml:space="preserve">Gang
</w:t>
            </w:r>
          </w:p>
          <w:p>
            <w:pPr/>
            <w:r>
              <w:rPr/>
              <w:t xml:space="preserve">UG
</w:t>
            </w:r>
          </w:p>
        </w:tc>
        <w:tc>
          <w:tcPr>
            <w:noWrap/>
          </w:tcPr>
          <w:p>
            <w:pPr/>
            <w:r>
              <w:rPr/>
              <w:t xml:space="preserve">VM-15
</w:t>
            </w:r>
          </w:p>
          <w:p>
            <w:pPr/>
            <w:r>
              <w:rPr/>
              <w:t xml:space="preserve">Asbestkarton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7"/>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