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Voia Pintga 12, Brienz/Brinzauls,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2174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1900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Schadstoffbericht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Gerhard Liesch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Voia Pintga 12, Brienz/Brinzauls,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Gerhard Liesch</w:t>
            </w:r>
            <w:bookmarkEnd w:id="12"/>
            <w:r w:rsidRPr="00FF365E">
              <w:rPr>
                <w:sz w:val="24"/>
                <w:szCs w:val="24"/>
                <w:lang w:val="en-GB"/>
              </w:rPr>
              <w:t xml:space="preserve"> </w:t>
            </w:r>
            <w:bookmarkStart w:id="13" w:name="OLE_LINK13"/>
            <w:r w:rsidRPr="00FF365E">
              <w:rPr>
                <w:sz w:val="24"/>
                <w:szCs w:val="24"/>
                <w:lang w:val="en-GB"/>
              </w:rPr>
              <w:t xml:space="preserve">Voia Pintga 12, Brienz/Brinzauls,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DG
</w:t>
            </w:r>
          </w:p>
          <w:p>
            <w:pPr/>
            <w:r>
              <w:rPr/>
              <w:t xml:space="preserve">Dach
</w:t>
            </w:r>
          </w:p>
          <w:p>
            <w:pPr/>
            <w:r>
              <w:rPr/>
              <w:t xml:space="preserve">Stall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DG
</w:t>
            </w:r>
          </w:p>
          <w:p>
            <w:pPr/>
            <w:r>
              <w:rPr/>
              <w:t xml:space="preserve">Dach
</w:t>
            </w:r>
          </w:p>
          <w:p>
            <w:pPr/>
            <w:r>
              <w:rPr/>
              <w:t xml:space="preserve">Haus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MaP-4</w:t>
            </w:r>
          </w:p>
        </w:tc>
        <w:tc>
          <w:tcPr>
            <w:noWrap/>
          </w:tcPr>
          <w:p>
            <w:pPr/>
            <w:r>
              <w:rPr/>
              <w:t xml:space="preserve">UG
</w:t>
            </w:r>
          </w:p>
          <w:p>
            <w:pPr/>
            <w:r>
              <w:rPr/>
              <w:t xml:space="preserve">Stall
</w:t>
            </w:r>
          </w:p>
          <w:p>
            <w:pPr/>
            <w:r>
              <w:rPr/>
              <w:t xml:space="preserve">Wand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UG
</w:t>
            </w:r>
          </w:p>
          <w:p>
            <w:pPr/>
            <w:r>
              <w:rPr/>
              <w:t xml:space="preserve">Haus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UG
</w:t>
            </w:r>
          </w:p>
          <w:p>
            <w:pPr/>
            <w:r>
              <w:rPr/>
              <w:t xml:space="preserve">Haus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VB-5</w:t>
            </w:r>
          </w:p>
        </w:tc>
        <w:tc>
          <w:tcPr>
            <w:noWrap/>
          </w:tcPr>
          <w:p/>
        </w:tc>
        <w:tc>
          <w:tcPr>
            <w:noWrap/>
          </w:tcPr>
          <w:p>
            <w:pPr/>
            <w:r>
              <w:rPr/>
              <w:t xml:space="preserve">Sicherungskasten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Fliesenkleber</w:t>
            </w:r>
          </w:p>
        </w:tc>
        <w:tc>
          <w:tcPr>
            <w:noWrap/>
          </w:tcPr>
          <w:p>
            <w:pPr/>
            <w:r>
              <w:rPr/>
              <w:t xml:space="preserve">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Fliesenkleber</w:t>
            </w:r>
          </w:p>
        </w:tc>
        <w:tc>
          <w:tcPr>
            <w:noWrap/>
          </w:tcPr>
          <w:p>
            <w:pPr/>
            <w:r>
              <w:rPr/>
              <w:t xml:space="preserve">35m²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400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w:t>
            </w:r>
          </w:p>
        </w:tc>
        <w:tc>
          <w:tcPr>
            <w:noWrap/>
          </w:tcPr>
          <w:p>
            <w:pPr/>
            <w:r>
              <w:rPr/>
              <w:t xml:space="preserve">Faserzement</w:t>
            </w:r>
          </w:p>
        </w:tc>
        <w:tc>
          <w:tcPr>
            <w:noWrap/>
          </w:tcPr>
          <w:p>
            <w:pPr/>
            <w:r>
              <w:rPr/>
              <w:t xml:space="preserve">300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MaP-4</w:t>
            </w:r>
          </w:p>
        </w:tc>
        <w:tc>
          <w:tcPr>
            <w:noWrap/>
          </w:tcPr>
          <w:p>
            <w:pPr/>
            <w:r>
              <w:rPr/>
              <w:t xml:space="preserve">Fensterkitt</w:t>
            </w:r>
          </w:p>
        </w:tc>
        <w:tc>
          <w:tcPr>
            <w:noWrap/>
          </w:tcPr>
          <w:p>
            <w:pPr/>
            <w:r>
              <w:rPr/>
              <w:t xml:space="preserve">5</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Faserzement</w:t>
      </w:r>
      <w:r>
        <w:rPr>
          <w:sz w:val="24"/>
          <w:szCs w:val="24"/>
        </w:rPr>
        <w:t xml:space="preserve">  </w:t>
      </w:r>
      <w:br/>
      <w:r>
        <w:rPr>
          <w:sz w:val="24"/>
          <w:szCs w:val="24"/>
        </w:rPr>
        <w:t xml:space="preserve">Faserzement aus MaP-1 befindet sich im Dach des Dachs im Stall und enthält Asbest. Dieses Material kann durch instruierte Handwerker unter Einhaltung der Richtlinien 33031 rückgebaut werden und ist mit dem lva-Code 17 06 98 nk in einer Deponie Typ B zu entsorgen. </w:t>
      </w:r>
      <w:br/>
      <w:r>
        <w:rPr>
          <w:sz w:val="24"/>
          <w:szCs w:val="24"/>
        </w:rPr>
        <w:t xml:space="preserve"/>
      </w:r>
      <w:br/>
      <w:r>
        <w:rPr>
          <w:sz w:val="24"/>
          <w:szCs w:val="24"/>
          <w:b w:val="1"/>
          <w:bCs w:val="1"/>
        </w:rPr>
        <w:t xml:space="preserve"/>
      </w:r>
      <w:r>
        <w:rPr>
          <w:sz w:val="24"/>
          <w:szCs w:val="24"/>
          <w:b w:val="1"/>
          <w:bCs w:val="1"/>
        </w:rPr>
        <w:t xml:space="preserve">MaP-2 Faserzement</w:t>
      </w:r>
      <w:r>
        <w:rPr>
          <w:sz w:val="24"/>
          <w:szCs w:val="24"/>
        </w:rPr>
        <w:t xml:space="preserve">  </w:t>
      </w:r>
      <w:br/>
      <w:r>
        <w:rPr>
          <w:sz w:val="24"/>
          <w:szCs w:val="24"/>
        </w:rPr>
        <w:t xml:space="preserve">Faserzement aus MaP-2 befindet sich im Dach des Dachs im Haus und enthält Asbest. Es ist ebenfalls von instruierte Handwerker gemäss den Richtlinien 33031 zu entfernen und gemäss dem lva-Code 17 06 98 nk in einer Deponie Typ B zu entsorgen. </w:t>
      </w:r>
      <w:br/>
      <w:r>
        <w:rPr>
          <w:sz w:val="24"/>
          <w:szCs w:val="24"/>
        </w:rPr>
        <w:t xml:space="preserve"/>
      </w:r>
      <w:br/>
      <w:r>
        <w:rPr>
          <w:sz w:val="24"/>
          <w:szCs w:val="24"/>
          <w:b w:val="1"/>
          <w:bCs w:val="1"/>
        </w:rPr>
        <w:t xml:space="preserve"/>
      </w:r>
      <w:r>
        <w:rPr>
          <w:sz w:val="24"/>
          <w:szCs w:val="24"/>
          <w:b w:val="1"/>
          <w:bCs w:val="1"/>
        </w:rPr>
        <w:t xml:space="preserve">MaP-4 Fensterkitt</w:t>
      </w:r>
      <w:r>
        <w:rPr>
          <w:sz w:val="24"/>
          <w:szCs w:val="24"/>
        </w:rPr>
        <w:t xml:space="preserve">  </w:t>
      </w:r>
      <w:br/>
      <w:r>
        <w:rPr>
          <w:sz w:val="24"/>
          <w:szCs w:val="24"/>
        </w:rPr>
        <w:t xml:space="preserve">Fensterkitt in MaP-4, der sich an der Wand im Stall im UG befindet, enthält Asbest. Dieser Fensterkitt kann durch instruierte Handwerker unter Berücksichtigung der Richtlinien 33039 - 33044 saniert werden und ist mit dem lva-Code 17 06 98 in einer Deponie Typ B zu entsorgen. </w:t>
      </w:r>
      <w:br/>
      <w:r>
        <w:rPr>
          <w:sz w:val="24"/>
          <w:szCs w:val="24"/>
        </w:rPr>
        <w:t xml:space="preserve"/>
      </w:r>
      <w:br/>
      <w:r>
        <w:rPr>
          <w:sz w:val="24"/>
          <w:szCs w:val="24"/>
          <w:b w:val="1"/>
          <w:bCs w:val="1"/>
        </w:rPr>
        <w:t xml:space="preserve"/>
      </w:r>
      <w:r>
        <w:rPr>
          <w:sz w:val="24"/>
          <w:szCs w:val="24"/>
          <w:b w:val="1"/>
          <w:bCs w:val="1"/>
        </w:rPr>
        <w:t xml:space="preserve">MaP-8 Fliesenkleber</w:t>
      </w:r>
      <w:r>
        <w:rPr>
          <w:sz w:val="24"/>
          <w:szCs w:val="24"/>
        </w:rPr>
        <w:t xml:space="preserve">  </w:t>
      </w:r>
      <w:br/>
      <w:r>
        <w:rPr>
          <w:sz w:val="24"/>
          <w:szCs w:val="24"/>
        </w:rPr>
        <w:t xml:space="preserve">Fliesenkleber in MaP-8, der am Boden im Haus im UG angebracht ist, enthält Asbest. Dieses Material muss durch Schadstoffsanierer entsprechend den EKAS 6503 Kap. 7 Richtlinien saniert werden und mit dem lva-Code 17 06 05 S entsorgt werden. </w:t>
      </w:r>
      <w:br/>
      <w:r>
        <w:rPr>
          <w:sz w:val="24"/>
          <w:szCs w:val="24"/>
        </w:rPr>
        <w:t xml:space="preserve"/>
      </w:r>
      <w:br/>
      <w:r>
        <w:rPr>
          <w:sz w:val="24"/>
          <w:szCs w:val="24"/>
          <w:b w:val="1"/>
          <w:bCs w:val="1"/>
        </w:rPr>
        <w:t xml:space="preserve"/>
      </w:r>
      <w:r>
        <w:rPr>
          <w:sz w:val="24"/>
          <w:szCs w:val="24"/>
          <w:b w:val="1"/>
          <w:bCs w:val="1"/>
        </w:rPr>
        <w:t xml:space="preserve">MaP-9 Fliesenkleber</w:t>
      </w:r>
      <w:r>
        <w:rPr>
          <w:sz w:val="24"/>
          <w:szCs w:val="24"/>
        </w:rPr>
        <w:t xml:space="preserve">  </w:t>
      </w:r>
      <w:br/>
      <w:r>
        <w:rPr>
          <w:sz w:val="24"/>
          <w:szCs w:val="24"/>
        </w:rPr>
        <w:t xml:space="preserve">Am Wand im Haus im UG ist in MaP-9 ein Fliesenkleber mit Asbest gefunden. Dieser muss von Schadstoffsanierern gemäß EKAS 6503 Kap. 7 rückgebaut werden und sollte unter dem lva-Code 17 06 05 S entsorgt werden. </w:t>
      </w:r>
      <w:br/>
      <w:r>
        <w:rPr>
          <w:sz w:val="24"/>
          <w:szCs w:val="24"/>
        </w:rPr>
        <w:t xml:space="preserve"/>
      </w:r>
      <w:br/>
      <w:r>
        <w:rPr>
          <w:sz w:val="24"/>
          <w:szCs w:val="24"/>
          <w:b w:val="1"/>
          <w:bCs w:val="1"/>
        </w:rPr>
        <w:t xml:space="preserve"/>
      </w:r>
      <w:r>
        <w:rPr>
          <w:sz w:val="24"/>
          <w:szCs w:val="24"/>
          <w:b w:val="1"/>
          <w:bCs w:val="1"/>
        </w:rPr>
        <w:t xml:space="preserve">VB-5 LAP</w:t>
      </w:r>
      <w:r>
        <w:rPr>
          <w:sz w:val="24"/>
          <w:szCs w:val="24"/>
        </w:rPr>
        <w:t xml:space="preserve">  </w:t>
      </w:r>
      <w:br/>
      <w:r>
        <w:rPr>
          <w:sz w:val="24"/>
          <w:szCs w:val="24"/>
        </w:rPr>
        <w:t xml:space="preserve">In VB-5, in einem Sicherungskasten wurde Asbest im LAP gefunden. Die Sanierung erfolgt durch Schadstoffsanierer nach den Richtlinien 33036 und der Abfall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DG
</w:t>
            </w:r>
          </w:p>
          <w:p>
            <w:pPr/>
            <w:r>
              <w:rPr/>
              <w:t xml:space="preserve">Dach
</w:t>
            </w:r>
          </w:p>
          <w:p>
            <w:pPr/>
            <w:r>
              <w:rPr/>
              <w:t xml:space="preserve">Stall
</w:t>
            </w:r>
          </w:p>
        </w:tc>
        <w:tc>
          <w:tcPr>
            <w:shd w:val="clear" w:fill="orange"/>
            <w:noWrap/>
          </w:tcPr>
          <w:p>
            <w:pPr/>
            <w:r>
              <w:rPr/>
              <w:t xml:space="preserve">VM-1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MaP-2</w:t>
            </w:r>
          </w:p>
        </w:tc>
        <w:tc>
          <w:tcPr>
            <w:shd w:val="clear" w:fill="orange"/>
            <w:noWrap/>
          </w:tcPr>
          <w:p>
            <w:pPr/>
            <w:r>
              <w:rPr/>
              <w:t xml:space="preserve">DG
</w:t>
            </w:r>
          </w:p>
          <w:p>
            <w:pPr/>
            <w:r>
              <w:rPr/>
              <w:t xml:space="preserve">Dach
</w:t>
            </w:r>
          </w:p>
          <w:p>
            <w:pPr/>
            <w:r>
              <w:rPr/>
              <w:t xml:space="preserve">Haus
</w:t>
            </w:r>
          </w:p>
        </w:tc>
        <w:tc>
          <w:tcPr>
            <w:shd w:val="clear" w:fill="orange"/>
            <w:noWrap/>
          </w:tcPr>
          <w:p>
            <w:pPr/>
            <w:r>
              <w:rPr/>
              <w:t xml:space="preserve">VM-2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UG
</w:t>
            </w:r>
          </w:p>
          <w:p>
            <w:pPr/>
            <w:r>
              <w:rPr/>
              <w:t xml:space="preserve">Stall
</w:t>
            </w:r>
          </w:p>
          <w:p>
            <w:pPr/>
            <w:r>
              <w:rPr/>
              <w:t xml:space="preserve">Decke
</w:t>
            </w:r>
          </w:p>
        </w:tc>
        <w:tc>
          <w:tcPr>
            <w:shd w:val="clear" w:fill="red"/>
            <w:noWrap/>
          </w:tcPr>
          <w:p>
            <w:pPr/>
            <w:r>
              <w:rPr/>
              <w:t xml:space="preserve">VM-3
</w:t>
            </w:r>
          </w:p>
          <w:p>
            <w:pPr/>
            <w:r>
              <w:rPr/>
              <w:t xml:space="preserve">LAP
</w:t>
            </w:r>
          </w:p>
          <w:p>
            <w:pPr/>
            <w:r>
              <w:rPr/>
              <w:t xml:space="preserve">Elektrolampe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MaP-4</w:t>
            </w:r>
          </w:p>
        </w:tc>
        <w:tc>
          <w:tcPr>
            <w:shd w:val="clear" w:fill="orange"/>
            <w:noWrap/>
          </w:tcPr>
          <w:p>
            <w:pPr/>
            <w:r>
              <w:rPr/>
              <w:t xml:space="preserve">UG
</w:t>
            </w:r>
          </w:p>
          <w:p>
            <w:pPr/>
            <w:r>
              <w:rPr/>
              <w:t xml:space="preserve">Stall
</w:t>
            </w:r>
          </w:p>
          <w:p>
            <w:pPr/>
            <w:r>
              <w:rPr/>
              <w:t xml:space="preserve">Wand
</w:t>
            </w:r>
          </w:p>
        </w:tc>
        <w:tc>
          <w:tcPr>
            <w:shd w:val="clear" w:fill="orange"/>
            <w:noWrap/>
          </w:tcPr>
          <w:p>
            <w:pPr/>
            <w:r>
              <w:rPr/>
              <w:t xml:space="preserve">VM-4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MaP-5</w:t>
            </w:r>
          </w:p>
        </w:tc>
        <w:tc>
          <w:tcPr>
            <w:shd w:val="clear" w:fill="green"/>
            <w:noWrap/>
          </w:tcPr>
          <w:p>
            <w:pPr/>
            <w:r>
              <w:rPr/>
              <w:t xml:space="preserve">UG
</w:t>
            </w:r>
          </w:p>
          <w:p>
            <w:pPr/>
            <w:r>
              <w:rPr/>
              <w:t xml:space="preserve">Stall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MaP-6</w:t>
            </w:r>
          </w:p>
        </w:tc>
        <w:tc>
          <w:tcPr>
            <w:shd w:val="clear" w:fill="green"/>
            <w:noWrap/>
          </w:tcPr>
          <w:p>
            <w:pPr/>
            <w:r>
              <w:rPr/>
              <w:t xml:space="preserve">UG
</w:t>
            </w:r>
          </w:p>
          <w:p>
            <w:pPr/>
            <w:r>
              <w:rPr/>
              <w:t xml:space="preserve">Haus
</w:t>
            </w:r>
          </w:p>
          <w:p>
            <w:pPr/>
            <w:r>
              <w:rPr/>
              <w:t xml:space="preserve">Wand
</w:t>
            </w:r>
          </w:p>
        </w:tc>
        <w:tc>
          <w:tcPr>
            <w:shd w:val="clear" w:fill="green"/>
            <w:noWrap/>
          </w:tcPr>
          <w:p>
            <w:pPr/>
            <w:r>
              <w:rPr/>
              <w:t xml:space="preserve">VM-6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UG
</w:t>
            </w:r>
          </w:p>
          <w:p>
            <w:pPr/>
            <w:r>
              <w:rPr/>
              <w:t xml:space="preserve">Haus
</w:t>
            </w:r>
          </w:p>
          <w:p>
            <w:pPr/>
            <w:r>
              <w:rPr/>
              <w:t xml:space="preserve">Boden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UG
</w:t>
            </w:r>
          </w:p>
          <w:p>
            <w:pPr/>
            <w:r>
              <w:rPr/>
              <w:t xml:space="preserve">Haus
</w:t>
            </w:r>
          </w:p>
          <w:p>
            <w:pPr/>
            <w:r>
              <w:rPr/>
              <w:t xml:space="preserve">Boden
</w:t>
            </w:r>
          </w:p>
        </w:tc>
        <w:tc>
          <w:tcPr>
            <w:shd w:val="clear" w:fill="red"/>
            <w:noWrap/>
          </w:tcPr>
          <w:p>
            <w:pPr/>
            <w:r>
              <w:rPr/>
              <w:t xml:space="preserve">VM-20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UG
</w:t>
            </w:r>
          </w:p>
          <w:p>
            <w:pPr/>
            <w:r>
              <w:rPr/>
              <w:t xml:space="preserve">Haus
</w:t>
            </w:r>
          </w:p>
          <w:p>
            <w:pPr/>
            <w:r>
              <w:rPr/>
              <w:t xml:space="preserve">Wand
</w:t>
            </w:r>
          </w:p>
        </w:tc>
        <w:tc>
          <w:tcPr>
            <w:shd w:val="clear" w:fill="red"/>
            <w:noWrap/>
          </w:tcPr>
          <w:p>
            <w:pPr/>
            <w:r>
              <w:rPr/>
              <w:t xml:space="preserve">VM-21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EG
</w:t>
            </w:r>
          </w:p>
          <w:p>
            <w:pPr/>
            <w:r>
              <w:rPr/>
              <w:t xml:space="preserve">Küche
</w:t>
            </w:r>
          </w:p>
          <w:p>
            <w:pPr/>
            <w:r>
              <w:rPr/>
              <w:t xml:space="preserve">Boden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EG
</w:t>
            </w:r>
          </w:p>
          <w:p>
            <w:pPr/>
            <w:r>
              <w:rPr/>
              <w:t xml:space="preserve">Küche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MaP-12</w:t>
            </w:r>
          </w:p>
        </w:tc>
        <w:tc>
          <w:tcPr>
            <w:shd w:val="clear" w:fill="green"/>
            <w:noWrap/>
          </w:tcPr>
          <w:p>
            <w:pPr/>
            <w:r>
              <w:rPr/>
              <w:t xml:space="preserve">EG
</w:t>
            </w:r>
          </w:p>
          <w:p>
            <w:pPr/>
            <w:r>
              <w:rPr/>
              <w:t xml:space="preserve">Küche
</w:t>
            </w:r>
          </w:p>
          <w:p>
            <w:pPr/>
            <w:r>
              <w:rPr/>
              <w:t xml:space="preserve">Wand
</w:t>
            </w:r>
          </w:p>
        </w:tc>
        <w:tc>
          <w:tcPr>
            <w:shd w:val="clear" w:fill="green"/>
            <w:noWrap/>
          </w:tcPr>
          <w:p>
            <w:pPr/>
            <w:r>
              <w:rPr/>
              <w:t xml:space="preserve">VM-6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MaP-13</w:t>
            </w:r>
          </w:p>
        </w:tc>
        <w:tc>
          <w:tcPr>
            <w:shd w:val="clear" w:fill="green"/>
            <w:noWrap/>
          </w:tcPr>
          <w:p>
            <w:pPr/>
            <w:r>
              <w:rPr/>
              <w:t xml:space="preserve">EG
</w:t>
            </w:r>
          </w:p>
          <w:p>
            <w:pPr/>
            <w:r>
              <w:rPr/>
              <w:t xml:space="preserve">Küche
</w:t>
            </w:r>
          </w:p>
          <w:p>
            <w:pPr/>
            <w:r>
              <w:rPr/>
              <w:t xml:space="preserve">Decke
</w:t>
            </w:r>
          </w:p>
        </w:tc>
        <w:tc>
          <w:tcPr>
            <w:shd w:val="clear" w:fill="green"/>
            <w:noWrap/>
          </w:tcPr>
          <w:p>
            <w:pPr/>
            <w:r>
              <w:rPr/>
              <w:t xml:space="preserve">VM-11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EG
</w:t>
            </w:r>
          </w:p>
          <w:p>
            <w:pPr/>
            <w:r>
              <w:rPr/>
              <w:t xml:space="preserve">Dusche WC
</w:t>
            </w:r>
          </w:p>
          <w:p>
            <w:pPr/>
            <w:r>
              <w:rPr/>
              <w:t xml:space="preserve">Boden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EG
</w:t>
            </w:r>
          </w:p>
          <w:p>
            <w:pPr/>
            <w:r>
              <w:rPr/>
              <w:t xml:space="preserve">Dusche WC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MaP-16</w:t>
            </w:r>
          </w:p>
        </w:tc>
        <w:tc>
          <w:tcPr>
            <w:shd w:val="clear" w:fill="green"/>
            <w:noWrap/>
          </w:tcPr>
          <w:p>
            <w:pPr/>
            <w:r>
              <w:rPr/>
              <w:t xml:space="preserve">EG
</w:t>
            </w:r>
          </w:p>
          <w:p>
            <w:pPr/>
            <w:r>
              <w:rPr/>
              <w:t xml:space="preserve">Dusche WC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MaP-17</w:t>
            </w:r>
          </w:p>
        </w:tc>
        <w:tc>
          <w:tcPr>
            <w:shd w:val="clear" w:fill="green"/>
            <w:noWrap/>
          </w:tcPr>
          <w:p>
            <w:pPr/>
            <w:r>
              <w:rPr/>
              <w:t xml:space="preserve">EG
</w:t>
            </w:r>
          </w:p>
          <w:p>
            <w:pPr/>
            <w:r>
              <w:rPr/>
              <w:t xml:space="preserve">Dusche WC
</w:t>
            </w:r>
          </w:p>
          <w:p>
            <w:pPr/>
            <w:r>
              <w:rPr/>
              <w:t xml:space="preserve">Decke
</w:t>
            </w:r>
          </w:p>
        </w:tc>
        <w:tc>
          <w:tcPr>
            <w:shd w:val="clear" w:fill="green"/>
            <w:noWrap/>
          </w:tcPr>
          <w:p>
            <w:pPr/>
            <w:r>
              <w:rPr/>
              <w:t xml:space="preserve">VM-11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EG
</w:t>
            </w:r>
          </w:p>
          <w:p>
            <w:pPr/>
            <w:r>
              <w:rPr/>
              <w:t xml:space="preserve">Gang
</w:t>
            </w:r>
          </w:p>
          <w:p>
            <w:pPr/>
            <w:r>
              <w:rPr/>
              <w:t xml:space="preserve">Boden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MaP-19</w:t>
            </w:r>
          </w:p>
        </w:tc>
        <w:tc>
          <w:tcPr>
            <w:shd w:val="clear" w:fill="orange"/>
            <w:noWrap/>
          </w:tcPr>
          <w:p>
            <w:pPr/>
            <w:r>
              <w:rPr/>
              <w:t xml:space="preserve">EG
</w:t>
            </w:r>
          </w:p>
          <w:p>
            <w:pPr/>
            <w:r>
              <w:rPr/>
              <w:t xml:space="preserve">Küche 2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MaP-20</w:t>
            </w:r>
          </w:p>
        </w:tc>
        <w:tc>
          <w:tcPr>
            <w:shd w:val="clear" w:fill="red"/>
            <w:noWrap/>
          </w:tcPr>
          <w:p>
            <w:pPr/>
            <w:r>
              <w:rPr/>
              <w:t xml:space="preserve">EG
</w:t>
            </w:r>
          </w:p>
          <w:p>
            <w:pPr/>
            <w:r>
              <w:rPr/>
              <w:t xml:space="preserve">Küche 2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MaP-21</w:t>
            </w:r>
          </w:p>
        </w:tc>
        <w:tc>
          <w:tcPr>
            <w:shd w:val="clear" w:fill="red"/>
            <w:noWrap/>
          </w:tcPr>
          <w:p>
            <w:pPr/>
            <w:r>
              <w:rPr/>
              <w:t xml:space="preserve">OG
</w:t>
            </w:r>
          </w:p>
          <w:p>
            <w:pPr/>
            <w:r>
              <w:rPr/>
              <w:t xml:space="preserve">Zimmer
</w:t>
            </w:r>
          </w:p>
          <w:p>
            <w:pPr/>
            <w:r>
              <w:rPr/>
              <w:t xml:space="preserve">Boden
</w:t>
            </w:r>
          </w:p>
        </w:tc>
        <w:tc>
          <w:tcPr>
            <w:shd w:val="clear" w:fill="red"/>
            <w:noWrap/>
          </w:tcPr>
          <w:p>
            <w:pPr/>
            <w:r>
              <w:rPr/>
              <w:t xml:space="preserve">VM-15
</w:t>
            </w:r>
          </w:p>
          <w:p>
            <w:pPr/>
            <w:r>
              <w:rPr/>
              <w:t xml:space="preserve">Teppichkleber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MaP-22</w:t>
            </w:r>
          </w:p>
        </w:tc>
        <w:tc>
          <w:tcPr>
            <w:shd w:val="clear" w:fill="green"/>
            <w:noWrap/>
          </w:tcPr>
          <w:p>
            <w:pPr/>
            <w:r>
              <w:rPr/>
              <w:t xml:space="preserve">OG
</w:t>
            </w:r>
          </w:p>
          <w:p>
            <w:pPr/>
            <w:r>
              <w:rPr/>
              <w:t xml:space="preserve">Zimmer
</w:t>
            </w:r>
          </w:p>
          <w:p>
            <w:pPr/>
            <w:r>
              <w:rPr/>
              <w:t xml:space="preserve">Wand
</w:t>
            </w:r>
          </w:p>
        </w:tc>
        <w:tc>
          <w:tcPr>
            <w:shd w:val="clear" w:fill="green"/>
            <w:noWrap/>
          </w:tcPr>
          <w:p>
            <w:pPr/>
            <w:r>
              <w:rPr/>
              <w:t xml:space="preserve">VM-6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r>
        <w:trPr/>
        <w:tc>
          <w:tcPr>
            <w:shd w:val="clear" w:fill="green"/>
            <w:noWrap/>
          </w:tcPr>
          <w:p>
            <w:pPr/>
            <w:r>
              <w:rPr/>
              <w:t xml:space="preserve">MaP-23</w:t>
            </w:r>
          </w:p>
        </w:tc>
        <w:tc>
          <w:tcPr>
            <w:shd w:val="clear" w:fill="green"/>
            <w:noWrap/>
          </w:tcPr>
          <w:p>
            <w:pPr/>
            <w:r>
              <w:rPr/>
              <w:t xml:space="preserve">OG
</w:t>
            </w:r>
          </w:p>
          <w:p>
            <w:pPr/>
            <w:r>
              <w:rPr/>
              <w:t xml:space="preserve">Zimmer
</w:t>
            </w:r>
          </w:p>
          <w:p>
            <w:pPr/>
            <w:r>
              <w:rPr/>
              <w:t xml:space="preserve">Decke
</w:t>
            </w:r>
          </w:p>
        </w:tc>
        <w:tc>
          <w:tcPr>
            <w:shd w:val="clear" w:fill="green"/>
            <w:noWrap/>
          </w:tcPr>
          <w:p>
            <w:pPr/>
            <w:r>
              <w:rPr/>
              <w:t xml:space="preserve">VM-11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0" o:title=""/>
                </v:shape>
              </w:pict>
              <w:t xml:space="preserve"/>
            </w:r>
          </w:p>
        </w:tc>
        <w:tc>
          <w:tcPr>
            <w:shd w:val="clear" w:fill="green"/>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MaP-24</w:t>
            </w:r>
          </w:p>
        </w:tc>
        <w:tc>
          <w:tcPr>
            <w:shd w:val="clear" w:fill="red"/>
            <w:noWrap/>
          </w:tcPr>
          <w:p>
            <w:pPr/>
            <w:r>
              <w:rPr/>
              <w:t xml:space="preserve">OG
</w:t>
            </w:r>
          </w:p>
          <w:p>
            <w:pPr/>
            <w:r>
              <w:rPr/>
              <w:t xml:space="preserve">Bad
</w:t>
            </w:r>
          </w:p>
          <w:p>
            <w:pPr/>
            <w:r>
              <w:rPr/>
              <w:t xml:space="preserve">Boden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MaP-25</w:t>
            </w:r>
          </w:p>
        </w:tc>
        <w:tc>
          <w:tcPr>
            <w:shd w:val="clear" w:fill="orange"/>
            <w:noWrap/>
          </w:tcPr>
          <w:p>
            <w:pPr/>
            <w:r>
              <w:rPr/>
              <w:t xml:space="preserve">OG
</w:t>
            </w:r>
          </w:p>
          <w:p>
            <w:pPr/>
            <w:r>
              <w:rPr/>
              <w:t xml:space="preserve">Gang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MaP-26</w:t>
            </w:r>
          </w:p>
        </w:tc>
        <w:tc>
          <w:tcPr>
            <w:shd w:val="clear" w:fill="red"/>
            <w:noWrap/>
          </w:tcPr>
          <w:p>
            <w:pPr/>
            <w:r>
              <w:rPr/>
              <w:t xml:space="preserve">OG
</w:t>
            </w:r>
          </w:p>
          <w:p>
            <w:pPr/>
            <w:r>
              <w:rPr/>
              <w:t xml:space="preserve">Gang
</w:t>
            </w:r>
          </w:p>
          <w:p>
            <w:pPr/>
            <w:r>
              <w:rPr/>
              <w:t xml:space="preserve">Boden
</w:t>
            </w:r>
          </w:p>
        </w:tc>
        <w:tc>
          <w:tcPr>
            <w:shd w:val="clear" w:fill="red"/>
            <w:noWrap/>
          </w:tcPr>
          <w:p>
            <w:pPr/>
            <w:r>
              <w:rPr/>
              <w:t xml:space="preserve">VM-16
</w:t>
            </w:r>
          </w:p>
          <w:p>
            <w:pPr/>
            <w:r>
              <w:rPr/>
              <w:t xml:space="preserve">Klebstoffe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MaP-27</w:t>
            </w:r>
          </w:p>
        </w:tc>
        <w:tc>
          <w:tcPr>
            <w:shd w:val="clear" w:fill="green"/>
            <w:noWrap/>
          </w:tcPr>
          <w:p>
            <w:pPr/>
            <w:r>
              <w:rPr/>
              <w:t xml:space="preserve">DG
</w:t>
            </w:r>
          </w:p>
          <w:p>
            <w:pPr/>
            <w:r>
              <w:rPr/>
              <w:t xml:space="preserve">Dach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MaP-28</w:t>
            </w:r>
          </w:p>
        </w:tc>
        <w:tc>
          <w:tcPr>
            <w:shd w:val="clear" w:fill="red"/>
            <w:noWrap/>
          </w:tcPr>
          <w:p>
            <w:pPr/>
            <w:r>
              <w:rPr/>
              <w:t xml:space="preserve">UG
</w:t>
            </w:r>
          </w:p>
          <w:p>
            <w:pPr/>
            <w:r>
              <w:rPr/>
              <w:t xml:space="preserve">Haus
</w:t>
            </w:r>
          </w:p>
          <w:p>
            <w:pPr/>
            <w:r>
              <w:rPr/>
              <w:t xml:space="preserve">Garage
</w:t>
            </w:r>
          </w:p>
        </w:tc>
        <w:tc>
          <w:tcPr>
            <w:shd w:val="clear" w:fill="red"/>
            <w:noWrap/>
          </w:tcPr>
          <w:p>
            <w:pPr/>
            <w:r>
              <w:rPr/>
              <w:t xml:space="preserve">VM-19
</w:t>
            </w:r>
          </w:p>
          <w:p>
            <w:pPr/>
            <w:r>
              <w:rPr/>
              <w:t xml:space="preserve">LAP
</w:t>
            </w:r>
          </w:p>
          <w:p>
            <w:pPr/>
            <w:r>
              <w:rPr/>
              <w:t xml:space="preserve">Türaufdoppelung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VB-1</w:t>
            </w:r>
          </w:p>
        </w:tc>
        <w:tc>
          <w:tcPr>
            <w:shd w:val="clear" w:fill="orange"/>
            <w:noWrap/>
          </w:tcPr>
          <w:p>
            <w:pPr/>
            <w:r>
              <w:rPr/>
              <w:t xml:space="preserve">UG
</w:t>
            </w:r>
          </w:p>
          <w:p>
            <w:pPr/>
            <w:r>
              <w:rPr/>
              <w:t xml:space="preserve">Haus
</w:t>
            </w:r>
          </w:p>
          <w:p>
            <w:pPr/>
            <w:r>
              <w:rPr/>
              <w:t xml:space="preserve">Wand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VB-2</w:t>
            </w:r>
          </w:p>
        </w:tc>
        <w:tc>
          <w:tcPr>
            <w:shd w:val="clear" w:fill="green"/>
            <w:noWrap/>
          </w:tcPr>
          <w:p>
            <w:pPr/>
            <w:r>
              <w:rPr/>
              <w:t xml:space="preserve">UG
</w:t>
            </w:r>
          </w:p>
          <w:p>
            <w:pPr/>
            <w:r>
              <w:rPr/>
              <w:t xml:space="preserve">Haus
</w:t>
            </w:r>
          </w:p>
          <w:p>
            <w:pPr/>
            <w:r>
              <w:rPr/>
              <w:t xml:space="preserve">Boden
</w:t>
            </w:r>
          </w:p>
        </w:tc>
        <w:tc>
          <w:tcPr>
            <w:shd w:val="clear" w:fill="green"/>
            <w:noWrap/>
          </w:tcPr>
          <w:p>
            <w:pPr/>
            <w:r>
              <w:rPr/>
              <w:t xml:space="preserve">VM-10
</w:t>
            </w:r>
          </w:p>
          <w:p>
            <w:pPr/>
            <w:r>
              <w:rPr/>
              <w:t xml:space="preserve">Oelofen
</w:t>
            </w:r>
          </w:p>
          <w:p>
            <w:pPr/>
            <w:r>
              <w:rPr/>
              <w:t xml:space="preserve">FZ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VB-3</w:t>
            </w:r>
          </w:p>
        </w:tc>
        <w:tc>
          <w:tcPr>
            <w:shd w:val="clear" w:fill="orange"/>
            <w:noWrap/>
          </w:tcPr>
          <w:p>
            <w:pPr/>
            <w:r>
              <w:rPr/>
              <w:t xml:space="preserve">EG
</w:t>
            </w:r>
          </w:p>
          <w:p>
            <w:pPr/>
            <w:r>
              <w:rPr/>
              <w:t xml:space="preserve">Stube
</w:t>
            </w:r>
          </w:p>
          <w:p>
            <w:pPr/>
            <w:r>
              <w:rPr/>
              <w:t xml:space="preserve">Kachelofen
</w:t>
            </w:r>
          </w:p>
        </w:tc>
        <w:tc>
          <w:tcPr>
            <w:shd w:val="clear" w:fill="orange"/>
            <w:noWrap/>
          </w:tcPr>
          <w:p>
            <w:pPr/>
            <w:r>
              <w:rPr/>
              <w:t xml:space="preserve">VM-13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VB-4</w:t>
            </w:r>
          </w:p>
        </w:tc>
        <w:tc>
          <w:tcPr>
            <w:shd w:val="clear" w:fill="orange"/>
            <w:noWrap/>
          </w:tcPr>
          <w:p>
            <w:pPr/>
            <w:r>
              <w:rPr/>
              <w:t xml:space="preserve">OG
</w:t>
            </w:r>
          </w:p>
          <w:p>
            <w:pPr/>
            <w:r>
              <w:rPr/>
              <w:t xml:space="preserve">Zimmer
</w:t>
            </w:r>
          </w:p>
          <w:p>
            <w:pPr/>
            <w:r>
              <w:rPr/>
              <w:t xml:space="preserve">Elektroofen
</w:t>
            </w:r>
          </w:p>
        </w:tc>
        <w:tc>
          <w:tcPr>
            <w:shd w:val="clear" w:fill="orange"/>
            <w:noWrap/>
          </w:tcPr>
          <w:p>
            <w:pPr/>
            <w:r>
              <w:rPr/>
              <w:t xml:space="preserve">VM-14
</w:t>
            </w:r>
          </w:p>
          <w:p>
            <w:pPr/>
            <w:r>
              <w:rPr/>
              <w:t xml:space="preserve">Faserzement
</w:t>
            </w:r>
          </w:p>
          <w:p>
            <w:pPr/>
            <w:r>
              <w:rPr/>
              <w:t xml:space="preserve">Elektroofen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VB-5</w:t>
            </w:r>
          </w:p>
        </w:tc>
        <w:tc>
          <w:tcPr>
            <w:shd w:val="clear" w:fill="red"/>
            <w:noWrap/>
          </w:tcPr>
          <w:p/>
        </w:tc>
        <w:tc>
          <w:tcPr>
            <w:shd w:val="clear" w:fill="red"/>
            <w:noWrap/>
          </w:tcPr>
          <w:p>
            <w:pPr/>
            <w:r>
              <w:rPr/>
              <w:t xml:space="preserve">VM-17
</w:t>
            </w:r>
          </w:p>
          <w:p>
            <w:pPr/>
            <w:r>
              <w:rPr/>
              <w:t xml:space="preserve">LAP
</w:t>
            </w:r>
          </w:p>
          <w:p>
            <w:pPr/>
            <w:r>
              <w:rPr/>
              <w:t xml:space="preserve">Sicherungskasten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yellow"/>
            <w:noWrap/>
          </w:tcPr>
          <w:p>
            <w:pPr/>
            <w:r>
              <w:rPr/>
              <w:t xml:space="preserve">VB-6</w:t>
            </w:r>
          </w:p>
        </w:tc>
        <w:tc>
          <w:tcPr>
            <w:shd w:val="clear" w:fill="yellow"/>
            <w:noWrap/>
          </w:tcPr>
          <w:p>
            <w:pPr/>
            <w:r>
              <w:rPr/>
              <w:t xml:space="preserve">DG
</w:t>
            </w:r>
          </w:p>
          <w:p>
            <w:pPr/>
            <w:r>
              <w:rPr/>
              <w:t xml:space="preserve">Dach
</w:t>
            </w:r>
          </w:p>
          <w:p>
            <w:pPr/>
            <w:r>
              <w:rPr/>
              <w:t xml:space="preserve">Haus
</w:t>
            </w:r>
          </w:p>
        </w:tc>
        <w:tc>
          <w:tcPr>
            <w:shd w:val="clear" w:fill="yellow"/>
            <w:noWrap/>
          </w:tcPr>
          <w:p>
            <w:pPr/>
            <w:r>
              <w:rPr/>
              <w:t xml:space="preserve">VM-18
</w:t>
            </w:r>
          </w:p>
          <w:p>
            <w:pPr/>
            <w:r>
              <w:rPr/>
              <w:t xml:space="preserve">KMF
</w:t>
            </w:r>
          </w:p>
          <w:p>
            <w:pPr/>
            <w:r>
              <w:rPr/>
              <w:t xml:space="preserve">Unterdach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92" o:title=""/>
                </v:shape>
              </w:pict>
              <w:t xml:space="preserve"/>
            </w:r>
          </w:p>
        </w:tc>
        <w:tc>
          <w:tcPr>
            <w:shd w:val="clear" w:fill="yellow"/>
            <w:noWrap/>
          </w:tcPr>
          <w:p>
            <w:pPr/>
            <w:r>
              <w:rPr/>
              <w:t xml:space="preserve"/>
              <w:pict>
                <v:shape type="#_x0000_t75" style="width:100px;height:150px" stroked="f" filled="f">
                  <v:imagedata r:id="rId9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5.42213883677px;height:900px" stroked="f" filled="f">
            <v:imagedata r:id="rId22" o:title=""/>
          </v:shape>
        </w:pict>
        <w:t/>
        <w:pict>
          <v:shape type="#_x0000_t75" style="width:675.42213883677px;height:900px" stroked="f" filled="f">
            <v:imagedata r:id="rId23" o:title=""/>
          </v:shape>
        </w:pict>
        <w:t/>
      </w:r>
      <w:r w:rsidR="00431D24" w:rsidRPr="00FF365E">
        <w:rPr>
          <w:sz w:val="26"/>
          <w:szCs w:val="26"/>
        </w:rPr>
        <w:t/>
        <w:pict>
          <v:shape type="#_x0000_t75" style="width:675.42213883677px;height:900px" stroked="f" filled="f">
            <v:imagedata r:id="rId24" o:title=""/>
          </v:shape>
        </w:pict>
        <w:t/>
      </w:r>
      <w:r w:rsidR="00122816" w:rsidRPr="00FF365E">
        <w:rPr>
          <w:sz w:val="26"/>
          <w:szCs w:val="26"/>
        </w:rPr>
        <w:t/>
        <w:pict>
          <v:shape type="#_x0000_t75" style="width:675.42213883677px;height:900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