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Rosenbergstrasse 29, 8370 Sirnach DN80</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80</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Hauskauf/ Umbau</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Jeremias Kammermann</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jeremiaskammermann@gmail.com</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2025-01-06</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Claudio Tavella</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15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Claudio Tavella</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yellow"/>
            <w:noWrap/>
          </w:tcPr>
          <w:p>
            <w:pPr/>
            <w:r>
              <w:rPr/>
              <w:t xml:space="preserve">VB-1</w:t>
            </w:r>
          </w:p>
        </w:tc>
        <w:tc>
          <w:tcPr>
            <w:noWrap/>
          </w:tcPr>
          <w:p>
            <w:pPr/>
            <w:r>
              <w:rPr/>
              <w:t xml:space="preserve">Estrich
</w:t>
            </w:r>
          </w:p>
          <w:p>
            <w:pPr/>
            <w:r>
              <w:rPr/>
              <w:t xml:space="preserve">DG
</w:t>
            </w:r>
          </w:p>
          <w:p>
            <w:pPr/>
            <w:r>
              <w:rPr/>
              <w:t xml:space="preserve">Wand
</w:t>
            </w:r>
          </w:p>
        </w:tc>
        <w:tc>
          <w:tcPr>
            <w:noWrap/>
          </w:tcPr>
          <w:p>
            <w:pPr/>
            <w:r>
              <w:rPr/>
              <w:t xml:space="preserve">Wand</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VB-2</w:t>
            </w:r>
          </w:p>
        </w:tc>
        <w:tc>
          <w:tcPr>
            <w:noWrap/>
          </w:tcPr>
          <w:p>
            <w:pPr/>
            <w:r>
              <w:rPr/>
              <w:t xml:space="preserve">Heizraum
</w:t>
            </w:r>
          </w:p>
          <w:p>
            <w:pPr/>
            <w:r>
              <w:rPr/>
              <w:t xml:space="preserve">UH
</w:t>
            </w:r>
          </w:p>
          <w:p>
            <w:pPr/>
            <w:r>
              <w:rPr/>
              <w:t xml:space="preserve">Wand
</w:t>
            </w:r>
          </w:p>
        </w:tc>
        <w:tc>
          <w:tcPr>
            <w:noWrap/>
          </w:tcPr>
          <w:p>
            <w:pPr/>
            <w:r>
              <w:rPr/>
              <w:t xml:space="preserve">Kamin Rohr Ummantelung</w:t>
            </w:r>
          </w:p>
        </w:tc>
        <w:tc>
          <w:tcPr>
            <w:noWrap/>
          </w:tcPr>
          <w:p>
            <w:pPr/>
            <w:r>
              <w:rPr/>
              <w:t xml:space="preserve">Asbestkarton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Gang
</w:t>
            </w:r>
          </w:p>
          <w:p>
            <w:pPr/>
            <w:r>
              <w:rPr/>
              <w:t xml:space="preserve">UG
</w:t>
            </w:r>
          </w:p>
          <w:p>
            <w:pPr/>
            <w:r>
              <w:rPr/>
              <w:t xml:space="preserve">Wand
</w:t>
            </w:r>
          </w:p>
        </w:tc>
        <w:tc>
          <w:tcPr>
            <w:noWrap/>
          </w:tcPr>
          <w:p>
            <w:pPr/>
            <w:r>
              <w:rPr/>
              <w:t xml:space="preserve">Abwasserrohr</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Asbestkarton</w:t>
            </w:r>
          </w:p>
        </w:tc>
        <w:tc>
          <w:tcPr>
            <w:noWrap/>
          </w:tcPr>
          <w:p>
            <w:pPr/>
            <w:r>
              <w:rPr/>
              <w:t xml:space="preserve">3</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VB-2</w:t>
            </w:r>
          </w:p>
        </w:tc>
        <w:tc>
          <w:tcPr>
            <w:noWrap/>
          </w:tcPr>
          <w:p>
            <w:pPr/>
            <w:r>
              <w:rPr/>
              <w:t xml:space="preserve">Asbestkarton</w:t>
            </w:r>
          </w:p>
        </w:tc>
        <w:tc>
          <w:tcPr>
            <w:noWrap/>
          </w:tcPr>
          <w:p>
            <w:pPr/>
            <w:r>
              <w:rPr/>
              <w:t xml:space="preserve">1</w:t>
            </w:r>
          </w:p>
        </w:tc>
        <w:tc>
          <w:tcPr>
            <w:noWrap/>
          </w:tcPr>
          <w:p>
            <w:pPr/>
            <w:r>
              <w:rPr/>
              <w:t xml:space="preserve">3</w:t>
            </w:r>
          </w:p>
        </w:tc>
        <w:tc>
          <w:tcPr>
            <w:noWrap/>
          </w:tcPr>
          <w:p>
            <w:pPr/>
            <w:r>
              <w:rPr/>
              <w:t xml:space="preserve">33064</w:t>
            </w:r>
          </w:p>
        </w:tc>
        <w:tc>
          <w:tcPr>
            <w:noWrap/>
          </w:tcPr>
          <w:p>
            <w:pPr/>
            <w:r>
              <w:rPr/>
              <w:t xml:space="preserve">17 06 05 S</w:t>
            </w:r>
          </w:p>
        </w:tc>
      </w:tr>
      <w:tr>
        <w:trPr/>
        <w:tc>
          <w:tcPr>
            <w:shd w:val="clear" w:fill="yellow"/>
            <w:noWrap/>
          </w:tcPr>
          <w:p>
            <w:pPr/>
            <w:r>
              <w:rPr/>
              <w:t xml:space="preserve">VB-3</w:t>
            </w:r>
          </w:p>
        </w:tc>
        <w:tc>
          <w:tcPr>
            <w:noWrap/>
          </w:tcPr>
          <w:p>
            <w:pPr/>
            <w:r>
              <w:rPr/>
              <w:t xml:space="preserve">Faserzement</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yellow"/>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Basierend auf den vorliegenden Berichten über die Bauschadstoffvorkommen und die entsprechenden Sanierungsangaben ist folgendes empfohlen:</w:t>
      </w:r>
      <w:br/>
      <w:r>
        <w:rPr/>
        <w:t xml:space="preserve"/>
      </w:r>
      <w:br/>
      <w:r>
        <w:rPr>
          <w:b w:val="1"/>
          <w:bCs w:val="1"/>
        </w:rPr>
        <w:t xml:space="preserve">1. </w:t>
      </w:r>
      <w:r>
        <w:rPr>
          <w:b w:val="1"/>
          <w:bCs w:val="1"/>
        </w:rPr>
        <w:t xml:space="preserve">Asbestkarton (Proben VB-1 und VB-2):</w:t>
      </w:r>
      <w:r>
        <w:rPr/>
        <w:t xml:space="preserve"> Asbest, das in Asbestkartonmaterial in verschiedenen Gebäudeteilen identifiziert wurde, ist ein bekanntes gesundheitsgefährdendes Material. Es wurde erkannt, dass Proben VB-1 und VB-2 asbesthaltigen Karton in Wandbereichen (Estrich im Dachgeschoss und Kaminrohr-Ummantelung im Heizraum) enthalten. Diese Materialien wurden zur Sanierung durch instruierte Handwerker eingestuft. Die Durchführung muss unbedingt gemäß den Richtlinien zur Schadstoffsanierung (Code: 33064) erfolgen, um die Sicherheit der ausführenden Personen und der Umgebung zu gewährleisten. Der LVA-Code 17 06 05 S bestätigt, dass die notwendigen Vorsichtsmaßnahmen und die richtige Entsorgung der Materialien eingehalten werden. </w:t>
      </w:r>
      <w:br/>
      <w:r>
        <w:rPr/>
        <w:t xml:space="preserve"/>
      </w:r>
      <w:br/>
      <w:r>
        <w:rPr>
          <w:b w:val="1"/>
          <w:bCs w:val="1"/>
        </w:rPr>
        <w:t xml:space="preserve">2. </w:t>
      </w:r>
      <w:r>
        <w:rPr>
          <w:b w:val="1"/>
          <w:bCs w:val="1"/>
        </w:rPr>
        <w:t xml:space="preserve">Faserzement (Probe VB-3):</w:t>
      </w:r>
      <w:r>
        <w:rPr/>
        <w:t xml:space="preserve"> Die Probe aus dem Gang im Untergeschoss zeigt Asbest in Faserzementmaterial. Ähnlich wie bei den Asbestkartons muss auch hier eine sorgfältige Entfernung gemäß den anerkannten Richtlinien (Code: 33031) durchgeführt werden. Diese Probe wurde ebenfalls für die Sanierung durch instruierte Handwerker vorgesehen. Der LVA-Code 17 06 98 nk weist darauf hin, dass besondere Entsorgungs- und Sicherheitsanforderungen für dieses Material erforderlich sind. </w:t>
      </w:r>
      <w:br/>
      <w:r>
        <w:rPr/>
        <w:t xml:space="preserve"/>
      </w:r>
      <w:br/>
      <w:r>
        <w:rPr>
          <w:b w:val="1"/>
          <w:bCs w:val="1"/>
        </w:rPr>
        <w:t xml:space="preserve"/>
      </w:r>
      <w:r>
        <w:rPr>
          <w:b w:val="1"/>
          <w:bCs w:val="1"/>
        </w:rPr>
        <w:t xml:space="preserve">Empfehlung:</w:t>
      </w:r>
      <w:r>
        <w:rPr/>
        <w:t xml:space="preserve"> </w:t>
      </w:r>
      <w:br/>
      <w:r>
        <w:rPr/>
        <w:t xml:space="preserve"/>
      </w:r>
      <w:br/>
      <w:r>
        <w:rPr/>
        <w:t xml:space="preserve">- Sicherstellung, dass alle Sanierungen durch qualifiziertes und autorisiertes Personal erfolgen, unter strikter Einhaltung der geltenden Sicherheitsbestimmungen und Entsorgungsrichtlinien.</w:t>
      </w:r>
      <w:br/>
      <w:r>
        <w:rPr/>
        <w:t xml:space="preserve">- Zusätzliche Sicherheitsschulungen und Ausrüstungen sollten bereitgestellt werden, um das Risiko der Asbestexposition zu minimieren.</w:t>
      </w:r>
      <w:br/>
      <w:r>
        <w:rPr/>
        <w:t xml:space="preserve">- Eine Dokumentation der Sanierungsmaßnahmen sollte ständig aktualisiert und für zukünftige Referenzen gut archiviert werden.</w:t>
      </w:r>
      <w:br/>
      <w:r>
        <w:rPr/>
        <w:t xml:space="preserve">- Eine abschließende Überprüfung der sanierten Bereiche ist erforderlich, um die vollständige Entfernung der Schadstoffe zu gewährleisten.</w:t>
      </w:r>
      <w:br/>
      <w:r>
        <w:rPr/>
        <w:t xml:space="preserve"/>
      </w:r>
      <w:br/>
      <w:r>
        <w:rPr/>
        <w:t xml:space="preserve">Durch diese Maßnahmen kann sichergestellt werden, dass sowohl die Arbeitsumgebung als auch das Gebäude nach der Sanierung asbestfrei und sicher für die weitere Nutzung sind.</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tc>
        <w:tc>
          <w:tcPr>
            <w:noWrap/>
          </w:tcPr>
          <w:p>
            <w:pPr/>
            <w:r>
              <w:rPr/>
              <w:t xml:space="preserve">VM-1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Schlafzimmer
</w:t>
            </w:r>
          </w:p>
          <w:p>
            <w:pPr/>
            <w:r>
              <w:rPr/>
              <w:t xml:space="preserve">OG
</w:t>
            </w:r>
          </w:p>
        </w:tc>
        <w:tc>
          <w:tcPr>
            <w:noWrap/>
          </w:tcPr>
          <w:p>
            <w:pPr/>
            <w:r>
              <w:rPr/>
              <w:t xml:space="preserve">VM-2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Treppenhaus / Gang
</w:t>
            </w:r>
          </w:p>
          <w:p>
            <w:pPr/>
            <w:r>
              <w:rPr/>
              <w:t xml:space="preserve">OG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Treppenhaus / Gang
</w:t>
            </w:r>
          </w:p>
          <w:p>
            <w:pPr/>
            <w:r>
              <w:rPr/>
              <w:t xml:space="preserve">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Gang
</w:t>
            </w:r>
          </w:p>
          <w:p>
            <w:pPr/>
            <w:r>
              <w:rPr/>
              <w:t xml:space="preserve">EG
</w:t>
            </w:r>
          </w:p>
        </w:tc>
        <w:tc>
          <w:tcPr>
            <w:noWrap/>
          </w:tcPr>
          <w:p>
            <w:pPr/>
            <w:r>
              <w:rPr/>
              <w:t xml:space="preserve">VM-5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Gang
</w:t>
            </w:r>
          </w:p>
          <w:p>
            <w:pPr/>
            <w:r>
              <w:rPr/>
              <w:t xml:space="preserve">EG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Gang
</w:t>
            </w:r>
          </w:p>
          <w:p>
            <w:pPr/>
            <w:r>
              <w:rPr/>
              <w:t xml:space="preserve">EG
</w:t>
            </w:r>
          </w:p>
        </w:tc>
        <w:tc>
          <w:tcPr>
            <w:noWrap/>
          </w:tcPr>
          <w:p>
            <w:pPr/>
            <w:r>
              <w:rPr/>
              <w:t xml:space="preserve">VM-8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Dusche
</w:t>
            </w:r>
          </w:p>
          <w:p>
            <w:pPr/>
            <w:r>
              <w:rPr/>
              <w:t xml:space="preserve">EG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Dusche
</w:t>
            </w:r>
          </w:p>
          <w:p>
            <w:pPr/>
            <w:r>
              <w:rPr/>
              <w:t xml:space="preserve">EG
</w:t>
            </w:r>
          </w:p>
        </w:tc>
        <w:tc>
          <w:tcPr>
            <w:noWrap/>
          </w:tcPr>
          <w:p>
            <w:pPr/>
            <w:r>
              <w:rPr/>
              <w:t xml:space="preserve">VM-10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Wohnzimmer
</w:t>
            </w:r>
          </w:p>
          <w:p>
            <w:pPr/>
            <w:r>
              <w:rPr/>
              <w:t xml:space="preserve">EG
</w:t>
            </w:r>
          </w:p>
        </w:tc>
        <w:tc>
          <w:tcPr>
            <w:noWrap/>
          </w:tcPr>
          <w:p>
            <w:pPr/>
            <w:r>
              <w:rPr/>
              <w:t xml:space="preserve">VM-11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tc>
        <w:tc>
          <w:tcPr>
            <w:noWrap/>
          </w:tcPr>
          <w:p>
            <w:pPr/>
            <w:r>
              <w:rPr/>
              <w:t xml:space="preserve">VM-13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Gang
</w:t>
            </w:r>
          </w:p>
          <w:p>
            <w:pPr/>
            <w:r>
              <w:rPr/>
              <w:t xml:space="preserve">UG
</w:t>
            </w:r>
          </w:p>
        </w:tc>
        <w:tc>
          <w:tcPr>
            <w:noWrap/>
          </w:tcPr>
          <w:p>
            <w:pPr/>
            <w:r>
              <w:rPr/>
              <w:t xml:space="preserve">VM-14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Hobbyraum / Eingang
</w:t>
            </w:r>
          </w:p>
          <w:p>
            <w:pPr/>
            <w:r>
              <w:rPr/>
              <w:t xml:space="preserve">UG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MaP-15</w:t>
            </w:r>
          </w:p>
        </w:tc>
        <w:tc>
          <w:tcPr>
            <w:noWrap/>
          </w:tcPr>
          <w:p>
            <w:pPr/>
            <w:r>
              <w:rPr/>
              <w:t xml:space="preserve">Hobbyraum / Eingang
</w:t>
            </w:r>
          </w:p>
          <w:p>
            <w:pPr/>
            <w:r>
              <w:rPr/>
              <w:t xml:space="preserve">UG
</w:t>
            </w:r>
          </w:p>
        </w:tc>
        <w:tc>
          <w:tcPr>
            <w:noWrap/>
          </w:tcPr>
          <w:p>
            <w:pPr/>
            <w:r>
              <w:rPr/>
              <w:t xml:space="preserve">VM-18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MaP-16</w:t>
            </w:r>
          </w:p>
        </w:tc>
        <w:tc>
          <w:tcPr>
            <w:noWrap/>
          </w:tcPr>
          <w:p>
            <w:pPr/>
            <w:r>
              <w:rPr/>
              <w:t xml:space="preserve">Eingang
</w:t>
            </w:r>
          </w:p>
          <w:p>
            <w:pPr/>
            <w:r>
              <w:rPr/>
              <w:t xml:space="preserve">UG
</w:t>
            </w:r>
          </w:p>
        </w:tc>
        <w:tc>
          <w:tcPr>
            <w:noWrap/>
          </w:tcPr>
          <w:p>
            <w:pPr/>
            <w:r>
              <w:rPr/>
              <w:t xml:space="preserve">VM-19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MaP-17</w:t>
            </w:r>
          </w:p>
        </w:tc>
        <w:tc>
          <w:tcPr>
            <w:noWrap/>
          </w:tcPr>
          <w:p>
            <w:pPr/>
            <w:r>
              <w:rPr/>
              <w:t xml:space="preserve">Sockel
</w:t>
            </w:r>
          </w:p>
          <w:p>
            <w:pPr/>
            <w:r>
              <w:rPr/>
              <w:t xml:space="preserve">UG
</w:t>
            </w:r>
          </w:p>
        </w:tc>
        <w:tc>
          <w:tcPr>
            <w:noWrap/>
          </w:tcPr>
          <w:p>
            <w:pPr/>
            <w:r>
              <w:rPr/>
              <w:t xml:space="preserve">VM-20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Fassade
</w:t>
            </w:r>
          </w:p>
          <w:p>
            <w:pPr/>
            <w:r>
              <w:rPr/>
              <w:t xml:space="preserve">EG/OG /DG
</w:t>
            </w:r>
          </w:p>
        </w:tc>
        <w:tc>
          <w:tcPr>
            <w:noWrap/>
          </w:tcPr>
          <w:p>
            <w:pPr/>
            <w:r>
              <w:rPr/>
              <w:t xml:space="preserve">VM-21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VB-1</w:t>
            </w:r>
          </w:p>
        </w:tc>
        <w:tc>
          <w:tcPr>
            <w:noWrap/>
          </w:tcPr>
          <w:p>
            <w:pPr/>
            <w:r>
              <w:rPr/>
              <w:t xml:space="preserve">Estrich
</w:t>
            </w:r>
          </w:p>
          <w:p>
            <w:pPr/>
            <w:r>
              <w:rPr/>
              <w:t xml:space="preserve">DG
</w:t>
            </w:r>
          </w:p>
        </w:tc>
        <w:tc>
          <w:tcPr>
            <w:noWrap/>
          </w:tcPr>
          <w:p>
            <w:pPr/>
            <w:r>
              <w:rPr/>
              <w:t xml:space="preserve">VM-6
</w:t>
            </w:r>
          </w:p>
          <w:p>
            <w:pPr/>
            <w:r>
              <w:rPr/>
              <w:t xml:space="preserve">Asbestkarton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VB-2</w:t>
            </w:r>
          </w:p>
        </w:tc>
        <w:tc>
          <w:tcPr>
            <w:noWrap/>
          </w:tcPr>
          <w:p>
            <w:pPr/>
            <w:r>
              <w:rPr/>
              <w:t xml:space="preserve">Heizraum
</w:t>
            </w:r>
          </w:p>
          <w:p>
            <w:pPr/>
            <w:r>
              <w:rPr/>
              <w:t xml:space="preserve">UH
</w:t>
            </w:r>
          </w:p>
        </w:tc>
        <w:tc>
          <w:tcPr>
            <w:noWrap/>
          </w:tcPr>
          <w:p>
            <w:pPr/>
            <w:r>
              <w:rPr/>
              <w:t xml:space="preserve">VM-16
</w:t>
            </w:r>
          </w:p>
          <w:p>
            <w:pPr/>
            <w:r>
              <w:rPr/>
              <w:t xml:space="preserve">Asbestkarton
</w:t>
            </w:r>
          </w:p>
          <w:p>
            <w:pPr/>
            <w:r>
              <w:rPr/>
              <w:t xml:space="preserve">Kamin Rohr Ummantelung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VB-3</w:t>
            </w:r>
          </w:p>
        </w:tc>
        <w:tc>
          <w:tcPr>
            <w:noWrap/>
          </w:tcPr>
          <w:p>
            <w:pPr/>
            <w:r>
              <w:rPr/>
              <w:t xml:space="preserve">Gang
</w:t>
            </w:r>
          </w:p>
          <w:p>
            <w:pPr/>
            <w:r>
              <w:rPr/>
              <w:t xml:space="preserve">UG
</w:t>
            </w:r>
          </w:p>
        </w:tc>
        <w:tc>
          <w:tcPr>
            <w:noWrap/>
          </w:tcPr>
          <w:p>
            <w:pPr/>
            <w:r>
              <w:rPr/>
              <w:t xml:space="preserve">VM-17
</w:t>
            </w:r>
          </w:p>
          <w:p>
            <w:pPr/>
            <w:r>
              <w:rPr/>
              <w:t xml:space="preserve">Faserzement
</w:t>
            </w:r>
          </w:p>
          <w:p>
            <w:pPr/>
            <w:r>
              <w:rPr/>
              <w:t xml:space="preserve">Abwasserrohr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