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Alte Seonerstrasse 21, 5503 Schafisheim,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633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Christian Schaffner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Alte Seonerstrasse 21, 5503 Schafisheim,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Schaffner</w:t>
            </w:r>
            <w:bookmarkEnd w:id="12"/>
            <w:r w:rsidRPr="00FF365E">
              <w:rPr>
                <w:sz w:val="24"/>
                <w:szCs w:val="24"/>
                <w:lang w:val="en-GB"/>
              </w:rPr>
              <w:t xml:space="preserve"> </w:t>
            </w:r>
            <w:bookmarkStart w:id="13" w:name="OLE_LINK13"/>
            <w:r w:rsidRPr="00FF365E">
              <w:rPr>
                <w:sz w:val="24"/>
                <w:szCs w:val="24"/>
                <w:lang w:val="en-GB"/>
              </w:rPr>
              <w:t xml:space="preserve"> Alte Seonerstrasse 21, 5503 Schafisheim,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Estrich
</w:t>
            </w:r>
          </w:p>
          <w:p>
            <w:pPr/>
            <w:r>
              <w:rPr/>
              <w:t xml:space="preserve">DG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Schlafzimmer
</w:t>
            </w:r>
          </w:p>
          <w:p>
            <w:pPr/>
            <w:r>
              <w:rPr/>
              <w:t xml:space="preserve">OG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der Probe VB-2 befindet sich im Estrich im Dachgeschoss beim Elektrotableau und enthält Asbest. Dieses Material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Das LAP-Material aus der Probe VB-3 ist im Gang im Erdgeschoss beim Elektrotableau installiert und enthält Asbest. Die Sanierung muss durch Schadstoffsanierer erfolgen, wobei die Richtlinien 33036 einzuhalten sind, und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t>
      </w:r>
      <w:br/>
      <w:r>
        <w:rPr>
          <w:sz w:val="24"/>
          <w:szCs w:val="24"/>
        </w:rPr>
        <w:t xml:space="preserve">In der Probe VB-4 ist Faserzement mit Asbest im Schlafzimmer im Obergeschoss beim Kachelofen zu finden. Instruierte Handwerker können dieses Material rückbauen; es sind die Richtlinien 33031 zu befolgen, und es ist mit dem LVA-Code 17 06 98 nk zu entsorgen.</w:t>
      </w:r>
      <w:br/>
      <w:r>
        <w:rPr>
          <w:sz w:val="24"/>
          <w:szCs w:val="24"/>
        </w:rPr>
        <w:t xml:space="preserve"/>
      </w:r>
      <w:br/>
      <w:r>
        <w:rPr>
          <w:sz w:val="24"/>
          <w:szCs w:val="24"/>
          <w:b w:val="1"/>
          <w:bCs w:val="1"/>
        </w:rPr>
        <w:t xml:space="preserve"/>
      </w:r>
      <w:r>
        <w:rPr>
          <w:sz w:val="24"/>
          <w:szCs w:val="24"/>
          <w:b w:val="1"/>
          <w:bCs w:val="1"/>
        </w:rPr>
        <w:t xml:space="preserve">VB-6, Faserzement</w:t>
      </w:r>
      <w:r>
        <w:rPr>
          <w:sz w:val="24"/>
          <w:szCs w:val="24"/>
        </w:rPr>
        <w:t xml:space="preserve">  </w:t>
      </w:r>
      <w:br/>
      <w:r>
        <w:rPr>
          <w:sz w:val="24"/>
          <w:szCs w:val="24"/>
        </w:rPr>
        <w:t xml:space="preserve">Die Probe VB-6 enthält Faserzement mit Asbest im Wohnzimmer im Erdgeschoss beim Kachelofen. Der Rückbau kann durch instruierte Handwerker unter Beachtung der Richtlinien 33031 vorgenommen werden, und das Material muss mit dem LVA-Code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alle Schlafzimmer / WC / Treppenhaus
</w:t>
            </w:r>
          </w:p>
          <w:p>
            <w:pPr/>
            <w:r>
              <w:rPr/>
              <w:t xml:space="preserve">OG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alle Räume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VM-20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MaP-15</w:t>
            </w:r>
          </w:p>
        </w:tc>
        <w:tc>
          <w:tcPr>
            <w:shd w:val="clear" w:fill="green"/>
            <w:noWrap/>
          </w:tcPr>
          <w:p>
            <w:pPr/>
            <w:r>
              <w:rPr/>
              <w:t xml:space="preserve">gesamtes Haus
</w:t>
            </w:r>
          </w:p>
          <w:p>
            <w:pPr/>
            <w:r>
              <w:rPr/>
              <w:t xml:space="preserve">EG - DG
</w:t>
            </w:r>
          </w:p>
          <w:p>
            <w:pPr/>
            <w:r>
              <w:rPr/>
              <w:t xml:space="preserve">Boden
</w:t>
            </w:r>
          </w:p>
        </w:tc>
        <w:tc>
          <w:tcPr>
            <w:shd w:val="clear" w:fill="green"/>
            <w:noWrap/>
          </w:tcPr>
          <w:p>
            <w:pPr/>
            <w:r>
              <w:rPr/>
              <w:t xml:space="preserve">VM-21
</w:t>
            </w:r>
          </w:p>
          <w:p>
            <w:pPr/>
            <w:r>
              <w:rPr/>
              <w:t xml:space="preserve">Schüttung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Waschküche
</w:t>
            </w:r>
          </w:p>
          <w:p>
            <w:pPr/>
            <w:r>
              <w:rPr/>
              <w:t xml:space="preserve">UG
</w:t>
            </w:r>
          </w:p>
          <w:p>
            <w:pPr/>
            <w:r>
              <w:rPr/>
              <w:t xml:space="preserve">Wand / Decke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Elektrotableau
</w:t>
            </w:r>
          </w:p>
        </w:tc>
        <w:tc>
          <w:tcPr>
            <w:shd w:val="clear" w:fill="orange"/>
            <w:noWrap/>
          </w:tcPr>
          <w:p>
            <w:pPr/>
            <w:r>
              <w:rPr/>
              <w:t xml:space="preserve">VM-3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VB-4</w:t>
            </w:r>
          </w:p>
        </w:tc>
        <w:tc>
          <w:tcPr>
            <w:shd w:val="clear" w:fill="orange"/>
            <w:noWrap/>
          </w:tcPr>
          <w:p>
            <w:pPr/>
            <w:r>
              <w:rPr/>
              <w:t xml:space="preserve">Schlafzimmer
</w:t>
            </w:r>
          </w:p>
          <w:p>
            <w:pPr/>
            <w:r>
              <w:rPr/>
              <w:t xml:space="preserve">OG
</w:t>
            </w:r>
          </w:p>
          <w:p>
            <w:pPr/>
            <w:r>
              <w:rPr/>
              <w:t xml:space="preserve">Kachelofen
</w:t>
            </w:r>
          </w:p>
        </w:tc>
        <w:tc>
          <w:tcPr>
            <w:shd w:val="clear" w:fill="orange"/>
            <w:noWrap/>
          </w:tcPr>
          <w:p>
            <w:pPr/>
            <w:r>
              <w:rPr/>
              <w:t xml:space="preserve">VM-6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VB-5</w:t>
            </w:r>
          </w:p>
        </w:tc>
        <w:tc>
          <w:tcPr>
            <w:shd w:val="clear" w:fill="red"/>
            <w:noWrap/>
          </w:tcPr>
          <w:p>
            <w:pPr/>
            <w:r>
              <w:rPr/>
              <w:t xml:space="preserve">Bad / WC
</w:t>
            </w:r>
          </w:p>
          <w:p>
            <w:pPr/>
            <w:r>
              <w:rPr/>
              <w:t xml:space="preserve">EG
</w:t>
            </w:r>
          </w:p>
          <w:p>
            <w:pPr/>
            <w:r>
              <w:rPr/>
              <w:t xml:space="preserve">Wand / Boden / Decke
</w:t>
            </w:r>
          </w:p>
        </w:tc>
        <w:tc>
          <w:tcPr>
            <w:shd w:val="clear" w:fill="red"/>
            <w:noWrap/>
          </w:tcPr>
          <w:p>
            <w:pPr/>
            <w:r>
              <w:rPr/>
              <w:t xml:space="preserve">VM-12
</w:t>
            </w:r>
          </w:p>
          <w:p>
            <w:pPr/>
            <w:r>
              <w:rPr/>
              <w:t xml:space="preserve">Plattenkleber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VB-6</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VM-15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VB-7</w:t>
            </w:r>
          </w:p>
        </w:tc>
        <w:tc>
          <w:tcPr>
            <w:shd w:val="clear" w:fill="orange"/>
            <w:noWrap/>
          </w:tcPr>
          <w:p>
            <w:pPr/>
            <w:r>
              <w:rPr/>
              <w:t xml:space="preserve">gesamtes Haus
</w:t>
            </w:r>
          </w:p>
          <w:p>
            <w:pPr/>
            <w:r>
              <w:rPr/>
              <w:t xml:space="preserve">EG - DG
</w:t>
            </w:r>
          </w:p>
          <w:p>
            <w:pPr/>
            <w:r>
              <w:rPr/>
              <w:t xml:space="preserve">Fallrohr
</w:t>
            </w:r>
          </w:p>
        </w:tc>
        <w:tc>
          <w:tcPr>
            <w:shd w:val="clear" w:fill="orange"/>
            <w:noWrap/>
          </w:tcPr>
          <w:p>
            <w:pPr/>
            <w:r>
              <w:rPr/>
              <w:t xml:space="preserve">VM-22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