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Widenmattweg 7, Meisterschwanden,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1791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765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EFH vor Umbau Sanierung mit Schadstoffbericht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Benjamin Muff</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Ralph Ingold, Widenmattweg 7</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Benjamin Muff</w:t>
            </w:r>
            <w:bookmarkEnd w:id="12"/>
            <w:r w:rsidRPr="00FF365E">
              <w:rPr>
                <w:sz w:val="24"/>
                <w:szCs w:val="24"/>
                <w:lang w:val="en-GB"/>
              </w:rPr>
              <w:t xml:space="preserve"> </w:t>
            </w:r>
            <w:bookmarkStart w:id="13" w:name="OLE_LINK13"/>
            <w:r w:rsidRPr="00FF365E">
              <w:rPr>
                <w:sz w:val="24"/>
                <w:szCs w:val="24"/>
                <w:lang w:val="en-GB"/>
              </w:rPr>
              <w:t xml:space="preserve">Ralph Ingold, Widenmattweg 7</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24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VB-3</w:t>
            </w:r>
          </w:p>
        </w:tc>
        <w:tc>
          <w:tcPr>
            <w:noWrap/>
          </w:tcPr>
          <w:p>
            <w:pPr/>
            <w:r>
              <w:rPr/>
              <w:t xml:space="preserve">Estrich
</w:t>
            </w:r>
          </w:p>
          <w:p>
            <w:pPr/>
            <w:r>
              <w:rPr/>
              <w:t xml:space="preserve">DG
</w:t>
            </w:r>
          </w:p>
          <w:p>
            <w:pPr/>
            <w:r>
              <w:rPr/>
              <w:t xml:space="preserve">Brandschutz unter Beleuchtung
</w:t>
            </w:r>
          </w:p>
        </w:tc>
        <w:tc>
          <w:tcPr>
            <w:noWrap/>
          </w:tcPr>
          <w:p>
            <w:pPr/>
            <w:r>
              <w:rPr/>
              <w:t xml:space="preserve">Brandschutz unter Beleuchtung</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LAP</w:t>
            </w:r>
          </w:p>
        </w:tc>
        <w:tc>
          <w:tcPr>
            <w:noWrap/>
          </w:tcPr>
          <w:p>
            <w:pPr/>
            <w:r>
              <w:rPr/>
              <w:t xml:space="preserve">3Stück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VB-3, Material LAP</w:t>
      </w:r>
      <w:r>
        <w:rPr>
          <w:sz w:val="24"/>
          <w:szCs w:val="24"/>
        </w:rPr>
        <w:t xml:space="preserve"/>
      </w:r>
      <w:br/>
      <w:r>
        <w:rPr>
          <w:sz w:val="24"/>
          <w:szCs w:val="24"/>
        </w:rPr>
        <w:t xml:space="preserve"/>
      </w:r>
      <w:br/>
      <w:r>
        <w:rPr>
          <w:sz w:val="24"/>
          <w:szCs w:val="24"/>
        </w:rPr>
        <w:t xml:space="preserve">LAP aus dem Estrich im Dachgeschoss, verwendet als Brandschutz unter Beleuchtung, enthält Asbest und muss von Schadstoffsanierern gemäss Richtlinien 33036 zurückgebaut werden. Die Entsorgung erfolgt mit dem lva 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gesamtes Haus
</w:t>
            </w:r>
          </w:p>
          <w:p>
            <w:pPr/>
            <w:r>
              <w:rPr/>
              <w:t xml:space="preserve">UG - DG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Treppenhaus/ Gang
</w:t>
            </w:r>
          </w:p>
          <w:p>
            <w:pPr/>
            <w:r>
              <w:rPr/>
              <w:t xml:space="preserve">UG - 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Treppenhaus/ Gang
</w:t>
            </w:r>
          </w:p>
          <w:p>
            <w:pPr/>
            <w:r>
              <w:rPr/>
              <w:t xml:space="preserve">UG - 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green"/>
            <w:noWrap/>
          </w:tcPr>
          <w:p>
            <w:pPr/>
            <w:r>
              <w:rPr/>
              <w:t xml:space="preserve">MaP-9</w:t>
            </w:r>
          </w:p>
        </w:tc>
        <w:tc>
          <w:tcPr>
            <w:shd w:val="clear" w:fill="green"/>
            <w:noWrap/>
          </w:tcPr>
          <w:p>
            <w:pPr/>
            <w:r>
              <w:rPr/>
              <w:t xml:space="preserve">Küche
</w:t>
            </w:r>
          </w:p>
          <w:p>
            <w:pPr/>
            <w:r>
              <w:rPr/>
              <w:t xml:space="preserve">EG
</w:t>
            </w:r>
          </w:p>
          <w:p>
            <w:pPr/>
            <w:r>
              <w:rPr/>
              <w:t xml:space="preserve">Wand
</w:t>
            </w:r>
          </w:p>
        </w:tc>
        <w:tc>
          <w:tcPr>
            <w:shd w:val="clear" w:fill="green"/>
            <w:noWrap/>
          </w:tcPr>
          <w:p>
            <w:pPr/>
            <w:r>
              <w:rPr/>
              <w:t xml:space="preserve">VM-11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7" o:title=""/>
                </v:shape>
              </w:pict>
              <w:t xml:space="preserve"/>
            </w:r>
          </w:p>
        </w:tc>
        <w:tc>
          <w:tcPr>
            <w:shd w:val="clear" w:fill="green"/>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VM-16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gesamtes Haus
</w:t>
            </w:r>
          </w:p>
          <w:p>
            <w:pPr/>
            <w:r>
              <w:rPr/>
              <w:t xml:space="preserve">UG - DG
</w:t>
            </w:r>
          </w:p>
          <w:p>
            <w:pPr/>
            <w:r>
              <w:rPr/>
              <w:t xml:space="preserve">Sockel
</w:t>
            </w:r>
          </w:p>
        </w:tc>
        <w:tc>
          <w:tcPr>
            <w:shd w:val="clear" w:fill="red"/>
            <w:noWrap/>
          </w:tcPr>
          <w:p>
            <w:pPr/>
            <w:r>
              <w:rPr/>
              <w:t xml:space="preserve">VM-19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Fassde
</w:t>
            </w:r>
          </w:p>
          <w:p>
            <w:pPr/>
            <w:r>
              <w:rPr/>
              <w:t xml:space="preserve">EG- DG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VB-2</w:t>
            </w:r>
          </w:p>
        </w:tc>
        <w:tc>
          <w:tcPr>
            <w:shd w:val="clear" w:fill="orange"/>
            <w:noWrap/>
          </w:tcPr>
          <w:p>
            <w:pPr/>
            <w:r>
              <w:rPr/>
              <w:t xml:space="preserve">Gang
</w:t>
            </w:r>
          </w:p>
          <w:p>
            <w:pPr/>
            <w:r>
              <w:rPr/>
              <w:t xml:space="preserve">UG
</w:t>
            </w:r>
          </w:p>
          <w:p>
            <w:pPr/>
            <w:r>
              <w:rPr/>
              <w:t xml:space="preserve">Elektrotableau
</w:t>
            </w:r>
          </w:p>
        </w:tc>
        <w:tc>
          <w:tcPr>
            <w:shd w:val="clear" w:fill="orange"/>
            <w:noWrap/>
          </w:tcPr>
          <w:p>
            <w:pPr/>
            <w:r>
              <w:rPr/>
              <w:t xml:space="preserve">VM-4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VB-3</w:t>
            </w:r>
          </w:p>
        </w:tc>
        <w:tc>
          <w:tcPr>
            <w:shd w:val="clear" w:fill="red"/>
            <w:noWrap/>
          </w:tcPr>
          <w:p>
            <w:pPr/>
            <w:r>
              <w:rPr/>
              <w:t xml:space="preserve">Estrich
</w:t>
            </w:r>
          </w:p>
          <w:p>
            <w:pPr/>
            <w:r>
              <w:rPr/>
              <w:t xml:space="preserve">DG
</w:t>
            </w:r>
          </w:p>
          <w:p>
            <w:pPr/>
            <w:r>
              <w:rPr/>
              <w:t xml:space="preserve">Brandschutz unter Beleuchtung
</w:t>
            </w:r>
          </w:p>
        </w:tc>
        <w:tc>
          <w:tcPr>
            <w:shd w:val="clear" w:fill="red"/>
            <w:noWrap/>
          </w:tcPr>
          <w:p>
            <w:pPr/>
            <w:r>
              <w:rPr/>
              <w:t xml:space="preserve">VM-17
</w:t>
            </w:r>
          </w:p>
          <w:p>
            <w:pPr/>
            <w:r>
              <w:rPr/>
              <w:t xml:space="preserve">LAP
</w:t>
            </w:r>
          </w:p>
          <w:p>
            <w:pPr/>
            <w:r>
              <w:rPr/>
              <w:t xml:space="preserve">Brandschutz unter Beleuchtung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VB-4</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VM-18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