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Ahornstrasse 5, 9404 Rorschacherberg, SG,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1135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763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1080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Rückbau.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Michael Klocker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NewSystem GmbH  Herr Ivan Lancellotti  Ahornstrasse 5  9404 Rorschacherberg SG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Michael Klocker</w:t>
            </w:r>
            <w:bookmarkEnd w:id="12"/>
            <w:r w:rsidRPr="00FF365E">
              <w:rPr>
                <w:sz w:val="24"/>
                <w:szCs w:val="24"/>
                <w:lang w:val="en-GB"/>
              </w:rPr>
              <w:t xml:space="preserve"> </w:t>
            </w:r>
            <w:bookmarkStart w:id="13" w:name="OLE_LINK13"/>
            <w:r w:rsidRPr="00FF365E">
              <w:rPr>
                <w:sz w:val="24"/>
                <w:szCs w:val="24"/>
                <w:lang w:val="en-GB"/>
              </w:rPr>
              <w:t xml:space="preserve">NewSystem GmbH  Herr Ivan Lancellotti  Ahornstrasse 5  9404 Rorschacherberg SG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04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MaP-11</w:t>
            </w:r>
          </w:p>
        </w:tc>
        <w:tc>
          <w:tcPr>
            <w:noWrap/>
          </w:tcPr>
          <w:p>
            <w:pPr/>
            <w:r>
              <w:rPr/>
              <w:t xml:space="preserve">Garage / Gang
</w:t>
            </w:r>
          </w:p>
          <w:p>
            <w:pPr/>
            <w:r>
              <w:rPr/>
              <w:t xml:space="preserve">UG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MaP-15</w:t>
            </w:r>
          </w:p>
        </w:tc>
        <w:tc>
          <w:tcPr>
            <w:noWrap/>
          </w:tcPr>
          <w:p>
            <w:pPr/>
            <w:r>
              <w:rPr/>
              <w:t xml:space="preserve">Fassade
</w:t>
            </w:r>
          </w:p>
          <w:p>
            <w:pPr/>
            <w:r>
              <w:rPr/>
              <w:t xml:space="preserve">DG
</w:t>
            </w:r>
          </w:p>
          <w:p>
            <w:pPr/>
            <w:r>
              <w:rPr/>
              <w:t xml:space="preserve">Wand / Dach
</w:t>
            </w:r>
          </w:p>
        </w:tc>
        <w:tc>
          <w:tcPr>
            <w:noWrap/>
          </w:tcPr>
          <w:p>
            <w:pPr/>
            <w:r>
              <w:rPr/>
              <w:t xml:space="preserve">Wand / 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VB-3</w:t>
            </w:r>
          </w:p>
        </w:tc>
        <w:tc>
          <w:tcPr>
            <w:noWrap/>
          </w:tcPr>
          <w:p>
            <w:pPr/>
            <w:r>
              <w:rPr/>
              <w:t xml:space="preserve">Heizraum
</w:t>
            </w:r>
          </w:p>
          <w:p>
            <w:pPr/>
            <w:r>
              <w:rPr/>
              <w:t xml:space="preserve">UH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MaP-11</w:t>
            </w:r>
          </w:p>
        </w:tc>
        <w:tc>
          <w:tcPr>
            <w:noWrap/>
          </w:tcPr>
          <w:p>
            <w:pPr/>
            <w:r>
              <w:rPr/>
              <w:t xml:space="preserve">Faserzement</w:t>
            </w:r>
          </w:p>
        </w:tc>
        <w:tc>
          <w:tcPr>
            <w:noWrap/>
          </w:tcPr>
          <w:p>
            <w:pPr/>
            <w:r>
              <w:rPr/>
              <w:t xml:space="preserve">25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MaP-15</w:t>
            </w:r>
          </w:p>
        </w:tc>
        <w:tc>
          <w:tcPr>
            <w:noWrap/>
          </w:tcPr>
          <w:p>
            <w:pPr/>
            <w:r>
              <w:rPr/>
              <w:t xml:space="preserve">Faserzement</w:t>
            </w:r>
          </w:p>
        </w:tc>
        <w:tc>
          <w:tcPr>
            <w:noWrap/>
          </w:tcPr>
          <w:p>
            <w:pPr/>
            <w:r>
              <w:rPr/>
              <w:t xml:space="preserve">90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 (MaP-11):</w:t>
      </w:r>
      <w:r>
        <w:rPr>
          <w:sz w:val="24"/>
          <w:szCs w:val="24"/>
        </w:rPr>
        <w:t xml:space="preserve"> Faserzement aus der Probe MaP-11 kann durch instruierte Handwerker unter Einhaltung der Richtlinien 33031 rückgebaut werden. Das Material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Faserzement (MaP-15):</w:t>
      </w:r>
      <w:r>
        <w:rPr>
          <w:sz w:val="24"/>
          <w:szCs w:val="24"/>
        </w:rPr>
        <w:t xml:space="preserve"> Faserzement aus der Probe MaP-15 ist ebenfalls durch instruierte Handwerker unter Einhaltung der Richtlinien 33031 zu sanieren. Dieses Material sollte ebenfalls mit dem LVA-Code 17 06 98 nk in einer Deponie Typ B entsorgt werden.</w:t>
      </w:r>
      <w:br/>
      <w:r>
        <w:rPr>
          <w:sz w:val="24"/>
          <w:szCs w:val="24"/>
        </w:rPr>
        <w:t xml:space="preserve"/>
      </w:r>
      <w:br/>
      <w:r>
        <w:rPr>
          <w:sz w:val="24"/>
          <w:szCs w:val="24"/>
          <w:b w:val="1"/>
          <w:bCs w:val="1"/>
        </w:rPr>
        <w:t xml:space="preserve"/>
      </w:r>
      <w:r>
        <w:rPr>
          <w:sz w:val="24"/>
          <w:szCs w:val="24"/>
          <w:b w:val="1"/>
          <w:bCs w:val="1"/>
        </w:rPr>
        <w:t xml:space="preserve">LAP (VB-3):</w:t>
      </w:r>
      <w:r>
        <w:rPr>
          <w:sz w:val="24"/>
          <w:szCs w:val="24"/>
        </w:rPr>
        <w:t xml:space="preserve"> Das LAP-Material aus der Probe VB-3 muss durch Schadstoffsanierer unter den Richtlinien 33036 saniert werden. Es ist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Küche / Gang
</w:t>
            </w:r>
          </w:p>
          <w:p>
            <w:pPr/>
            <w:r>
              <w:rPr/>
              <w:t xml:space="preserve">EG
</w:t>
            </w:r>
          </w:p>
          <w:p>
            <w:pPr/>
            <w:r>
              <w:rPr/>
              <w:t xml:space="preserve">Boden
</w:t>
            </w:r>
          </w:p>
        </w:tc>
        <w:tc>
          <w:tcPr>
            <w:shd w:val="clear" w:fill="green"/>
            <w:noWrap/>
          </w:tcPr>
          <w:p>
            <w:pPr/>
            <w:r>
              <w:rPr/>
              <w:t xml:space="preserve">VM-2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VM-3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green"/>
            <w:noWrap/>
          </w:tcPr>
          <w:p>
            <w:pPr/>
            <w:r>
              <w:rPr/>
              <w:t xml:space="preserve">MaP-6</w:t>
            </w:r>
          </w:p>
        </w:tc>
        <w:tc>
          <w:tcPr>
            <w:shd w:val="clear" w:fill="green"/>
            <w:noWrap/>
          </w:tcPr>
          <w:p>
            <w:pPr/>
            <w:r>
              <w:rPr/>
              <w:t xml:space="preserve">Bad
</w:t>
            </w:r>
          </w:p>
          <w:p>
            <w:pPr/>
            <w:r>
              <w:rPr/>
              <w:t xml:space="preserve">EG
</w:t>
            </w:r>
          </w:p>
          <w:p>
            <w:pPr/>
            <w:r>
              <w:rPr/>
              <w:t xml:space="preserve">Boden
</w:t>
            </w:r>
          </w:p>
        </w:tc>
        <w:tc>
          <w:tcPr>
            <w:shd w:val="clear" w:fill="green"/>
            <w:noWrap/>
          </w:tcPr>
          <w:p>
            <w:pPr/>
            <w:r>
              <w:rPr/>
              <w:t xml:space="preserve">VM-7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1" o:title=""/>
                </v:shape>
              </w:pict>
              <w:t xml:space="preserve"/>
            </w:r>
          </w:p>
        </w:tc>
        <w:tc>
          <w:tcPr>
            <w:shd w:val="clear" w:fill="green"/>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alle Schlafzimmer / Wohnzimmer
</w:t>
            </w:r>
          </w:p>
          <w:p>
            <w:pPr/>
            <w:r>
              <w:rPr/>
              <w:t xml:space="preserve">EG
</w:t>
            </w:r>
          </w:p>
          <w:p>
            <w:pPr/>
            <w:r>
              <w:rPr/>
              <w:t xml:space="preserve">Boden
</w:t>
            </w:r>
          </w:p>
        </w:tc>
        <w:tc>
          <w:tcPr>
            <w:shd w:val="clear" w:fill="red"/>
            <w:noWrap/>
          </w:tcPr>
          <w:p>
            <w:pPr/>
            <w:r>
              <w:rPr/>
              <w:t xml:space="preserve">VM-9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Anbau
</w:t>
            </w:r>
          </w:p>
          <w:p>
            <w:pPr/>
            <w:r>
              <w:rPr/>
              <w:t xml:space="preserve">EG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Anbau
</w:t>
            </w:r>
          </w:p>
          <w:p>
            <w:pPr/>
            <w:r>
              <w:rPr/>
              <w:t xml:space="preserve">EG
</w:t>
            </w:r>
          </w:p>
          <w:p>
            <w:pPr/>
            <w:r>
              <w:rPr/>
              <w:t xml:space="preserve">Decke
</w:t>
            </w:r>
          </w:p>
        </w:tc>
        <w:tc>
          <w:tcPr>
            <w:shd w:val="clear" w:fill="red"/>
            <w:noWrap/>
          </w:tcPr>
          <w:p>
            <w:pPr/>
            <w:r>
              <w:rPr/>
              <w:t xml:space="preserve">VM-11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orange"/>
            <w:noWrap/>
          </w:tcPr>
          <w:p>
            <w:pPr/>
            <w:r>
              <w:rPr/>
              <w:t xml:space="preserve">MaP-11</w:t>
            </w:r>
          </w:p>
        </w:tc>
        <w:tc>
          <w:tcPr>
            <w:shd w:val="clear" w:fill="orange"/>
            <w:noWrap/>
          </w:tcPr>
          <w:p>
            <w:pPr/>
            <w:r>
              <w:rPr/>
              <w:t xml:space="preserve">Garage / Gang
</w:t>
            </w:r>
          </w:p>
          <w:p>
            <w:pPr/>
            <w:r>
              <w:rPr/>
              <w:t xml:space="preserve">UG
</w:t>
            </w:r>
          </w:p>
          <w:p>
            <w:pPr/>
            <w:r>
              <w:rPr/>
              <w:t xml:space="preserve">Decke
</w:t>
            </w:r>
          </w:p>
        </w:tc>
        <w:tc>
          <w:tcPr>
            <w:shd w:val="clear" w:fill="orange"/>
            <w:noWrap/>
          </w:tcPr>
          <w:p>
            <w:pPr/>
            <w:r>
              <w:rPr/>
              <w:t xml:space="preserve">VM-13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1" o:title=""/>
                </v:shape>
              </w:pict>
              <w:t xml:space="preserve"/>
            </w:r>
          </w:p>
        </w:tc>
        <w:tc>
          <w:tcPr>
            <w:shd w:val="clear" w:fill="orange"/>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Küche / Gang
</w:t>
            </w:r>
          </w:p>
          <w:p>
            <w:pPr/>
            <w:r>
              <w:rPr/>
              <w:t xml:space="preserve">EG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Fassade
</w:t>
            </w:r>
          </w:p>
          <w:p>
            <w:pPr/>
            <w:r>
              <w:rPr/>
              <w:t xml:space="preserve">EG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Sockel
</w:t>
            </w:r>
          </w:p>
          <w:p>
            <w:pPr/>
            <w:r>
              <w:rPr/>
              <w:t xml:space="preserve">UG
</w:t>
            </w:r>
          </w:p>
          <w:p>
            <w:pPr/>
            <w:r>
              <w:rPr/>
              <w:t xml:space="preserve">Wand
</w:t>
            </w:r>
          </w:p>
        </w:tc>
        <w:tc>
          <w:tcPr>
            <w:shd w:val="clear" w:fill="red"/>
            <w:noWrap/>
          </w:tcPr>
          <w:p>
            <w:pPr/>
            <w:r>
              <w:rPr/>
              <w:t xml:space="preserve">VM-17
</w:t>
            </w:r>
          </w:p>
          <w:p>
            <w:pPr/>
            <w:r>
              <w:rPr/>
              <w:t xml:space="preserve">Putz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MaP-15</w:t>
            </w:r>
          </w:p>
        </w:tc>
        <w:tc>
          <w:tcPr>
            <w:shd w:val="clear" w:fill="orange"/>
            <w:noWrap/>
          </w:tcPr>
          <w:p>
            <w:pPr/>
            <w:r>
              <w:rPr/>
              <w:t xml:space="preserve">Fassade
</w:t>
            </w:r>
          </w:p>
          <w:p>
            <w:pPr/>
            <w:r>
              <w:rPr/>
              <w:t xml:space="preserve">DG
</w:t>
            </w:r>
          </w:p>
          <w:p>
            <w:pPr/>
            <w:r>
              <w:rPr/>
              <w:t xml:space="preserve">Wand / Dach
</w:t>
            </w:r>
          </w:p>
        </w:tc>
        <w:tc>
          <w:tcPr>
            <w:shd w:val="clear" w:fill="orange"/>
            <w:noWrap/>
          </w:tcPr>
          <w:p>
            <w:pPr/>
            <w:r>
              <w:rPr/>
              <w:t xml:space="preserve">VM-18
</w:t>
            </w:r>
          </w:p>
          <w:p>
            <w:pPr/>
            <w:r>
              <w:rPr/>
              <w:t xml:space="preserve">Faserzement
</w:t>
            </w:r>
          </w:p>
          <w:p>
            <w:pPr/>
            <w:r>
              <w:rPr/>
              <w:t xml:space="preserve">Wand / 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VM-12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VB-3</w:t>
            </w:r>
          </w:p>
        </w:tc>
        <w:tc>
          <w:tcPr>
            <w:shd w:val="clear" w:fill="red"/>
            <w:noWrap/>
          </w:tcPr>
          <w:p>
            <w:pPr/>
            <w:r>
              <w:rPr/>
              <w:t xml:space="preserve">Heizraum
</w:t>
            </w:r>
          </w:p>
          <w:p>
            <w:pPr/>
            <w:r>
              <w:rPr/>
              <w:t xml:space="preserve">UH
</w:t>
            </w:r>
          </w:p>
          <w:p>
            <w:pPr/>
            <w:r>
              <w:rPr/>
              <w:t xml:space="preserve">Elektrotableau
</w:t>
            </w:r>
          </w:p>
        </w:tc>
        <w:tc>
          <w:tcPr>
            <w:shd w:val="clear" w:fill="red"/>
            <w:noWrap/>
          </w:tcPr>
          <w:p>
            <w:pPr/>
            <w:r>
              <w:rPr/>
              <w:t xml:space="preserve">VM-15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