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2_document.jpeg" ContentType="image/jpeg"/>
  <Override PartName="/word/media/image_rId13_document.jpeg" ContentType="image/jpeg"/>
  <Override PartName="/word/media/image_rId14_document.jpeg" ContentType="image/jpeg"/>
  <Override PartName="/word/media/image_rId15_document.jpeg" ContentType="image/jpeg"/>
  <Override PartName="/word/media/image_rId16_document.jpeg" ContentType="image/jpeg"/>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421" w:type="dxa"/>
        <w:tblInd w:w="-113" w:type="dxa"/>
        <w:tblLayout w:type="fixed"/>
        <w:tblLook w:val="0600" w:firstRow="0" w:lastRow="0" w:firstColumn="0" w:lastColumn="0" w:noHBand="1" w:noVBand="1"/>
      </w:tblPr>
      <w:tblGrid>
        <w:gridCol w:w="5386"/>
        <w:gridCol w:w="729"/>
        <w:gridCol w:w="3306"/>
      </w:tblGrid>
      <w:tr w:rsidR="0047123B" w:rsidTr="004A1ED8">
        <w:trPr>
          <w:trHeight w:val="3764"/>
        </w:trPr>
        <w:tc>
          <w:tcPr>
            <w:tcW w:w="5386" w:type="dxa"/>
            <w:shd w:val="clear" w:color="auto" w:fill="auto"/>
            <w:tcMar>
              <w:top w:w="100" w:type="dxa"/>
              <w:left w:w="100" w:type="dxa"/>
              <w:bottom w:w="100" w:type="dxa"/>
              <w:right w:w="100" w:type="dxa"/>
            </w:tcMar>
          </w:tcPr>
          <w:p w:rsidR="0047123B" w:rsidRDefault="0047123B" w:rsidP="004A1ED8">
            <w:pPr>
              <w:spacing w:line="240" w:lineRule="auto"/>
              <w:rPr>
                <w:rFonts w:ascii="Calibri" w:eastAsia="Calibri" w:hAnsi="Calibri" w:cs="Calibri"/>
                <w:b/>
                <w:color w:val="2F5496"/>
                <w:sz w:val="26"/>
                <w:szCs w:val="26"/>
              </w:rPr>
            </w:pPr>
            <w:bookmarkStart w:id="0" w:name="OLE_LINK40"/>
            <w:r>
              <w:rPr>
                <w:sz w:val="24"/>
                <w:szCs w:val="24"/>
              </w:rPr>
              <w:t/>
              <w:pict>
                <v:shape type="#_x0000_t75" style="width:375px;height:320px" stroked="f" filled="f">
                  <v:imagedata r:id="rId12" o:title=""/>
                </v:shape>
              </w:pict>
              <w:t/>
            </w:r>
          </w:p>
        </w:tc>
        <w:tc>
          <w:tcPr>
            <w:tcW w:w="729"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rFonts w:ascii="Calibri" w:eastAsia="Calibri" w:hAnsi="Calibri" w:cs="Calibri"/>
                <w:b/>
                <w:color w:val="2F5496"/>
                <w:sz w:val="26"/>
                <w:szCs w:val="26"/>
              </w:rPr>
            </w:pPr>
          </w:p>
        </w:tc>
        <w:tc>
          <w:tcPr>
            <w:tcW w:w="3306" w:type="dxa"/>
            <w:shd w:val="clear" w:color="auto" w:fill="auto"/>
            <w:tcMar>
              <w:top w:w="100" w:type="dxa"/>
              <w:left w:w="100" w:type="dxa"/>
              <w:bottom w:w="100" w:type="dxa"/>
              <w:right w:w="100" w:type="dxa"/>
            </w:tcMar>
          </w:tcPr>
          <w:p w:rsidR="0047123B" w:rsidRDefault="0047123B" w:rsidP="004A1ED8">
            <w:pPr>
              <w:spacing w:line="240" w:lineRule="auto"/>
              <w:rPr>
                <w:sz w:val="24"/>
                <w:szCs w:val="24"/>
              </w:rPr>
            </w:pPr>
            <w:bookmarkStart w:id="1" w:name="OLE_LINK33"/>
            <w:r>
              <w:rPr>
                <w:sz w:val="24"/>
                <w:szCs w:val="24"/>
              </w:rPr>
              <w:t>Künggasse 7, 9425 Thal DN75</w:t>
            </w:r>
            <w:bookmarkEnd w:id="1"/>
            <w:r>
              <w:rPr>
                <w:sz w:val="24"/>
                <w:szCs w:val="24"/>
              </w:rPr>
              <w:br/>
            </w:r>
            <w:r>
              <w:rPr>
                <w:sz w:val="24"/>
                <w:szCs w:val="24"/>
              </w:rPr>
              <w:br/>
              <w:t>1934</w:t>
            </w:r>
          </w:p>
          <w:p w:rsidR="0047123B" w:rsidRDefault="0047123B" w:rsidP="004A1ED8">
            <w:pPr>
              <w:spacing w:line="240" w:lineRule="auto"/>
              <w:rPr>
                <w:sz w:val="24"/>
                <w:szCs w:val="24"/>
              </w:rPr>
            </w:pPr>
          </w:p>
          <w:p w:rsidR="0047123B" w:rsidRDefault="0047123B" w:rsidP="004A1ED8">
            <w:pPr>
              <w:spacing w:line="240" w:lineRule="auto"/>
              <w:rPr>
                <w:sz w:val="24"/>
                <w:szCs w:val="24"/>
              </w:rPr>
            </w:pPr>
            <w:r>
              <w:rPr>
                <w:sz w:val="24"/>
                <w:szCs w:val="24"/>
              </w:rPr>
              <w:t/>
            </w:r>
          </w:p>
          <w:p w:rsidR="0047123B" w:rsidRDefault="0047123B" w:rsidP="004A1ED8">
            <w:pPr>
              <w:spacing w:line="240" w:lineRule="auto"/>
              <w:rPr>
                <w:sz w:val="24"/>
                <w:szCs w:val="24"/>
              </w:rPr>
            </w:pPr>
          </w:p>
          <w:p w:rsidR="0047123B" w:rsidRDefault="0047123B" w:rsidP="004A1ED8">
            <w:pPr>
              <w:spacing w:line="240" w:lineRule="auto"/>
              <w:rPr>
                <w:sz w:val="24"/>
                <w:szCs w:val="24"/>
              </w:rPr>
            </w:pPr>
          </w:p>
          <w:p w:rsidR="0047123B" w:rsidRDefault="0047123B" w:rsidP="004A1ED8">
            <w:pPr>
              <w:spacing w:line="240" w:lineRule="auto"/>
              <w:rPr>
                <w:sz w:val="24"/>
                <w:szCs w:val="24"/>
              </w:rPr>
            </w:pPr>
          </w:p>
          <w:p w:rsidR="0047123B" w:rsidRDefault="0047123B" w:rsidP="004A1ED8">
            <w:pPr>
              <w:spacing w:line="240" w:lineRule="auto"/>
              <w:rPr>
                <w:sz w:val="24"/>
                <w:szCs w:val="24"/>
              </w:rPr>
            </w:pPr>
          </w:p>
          <w:p w:rsidR="0047123B" w:rsidRDefault="0047123B" w:rsidP="004A1ED8">
            <w:pPr>
              <w:spacing w:line="240" w:lineRule="auto"/>
              <w:rPr>
                <w:sz w:val="24"/>
                <w:szCs w:val="24"/>
              </w:rPr>
            </w:pPr>
          </w:p>
          <w:p w:rsidR="0047123B" w:rsidRDefault="0047123B" w:rsidP="004A1ED8">
            <w:pPr>
              <w:spacing w:line="240" w:lineRule="auto"/>
              <w:rPr>
                <w:sz w:val="24"/>
                <w:szCs w:val="24"/>
              </w:rPr>
            </w:pPr>
          </w:p>
          <w:p w:rsidR="0047123B" w:rsidRDefault="0047123B" w:rsidP="004A1ED8">
            <w:pPr>
              <w:spacing w:line="240" w:lineRule="auto"/>
              <w:rPr>
                <w:sz w:val="24"/>
                <w:szCs w:val="24"/>
              </w:rPr>
            </w:pPr>
          </w:p>
          <w:p w:rsidR="0047123B" w:rsidRDefault="0047123B" w:rsidP="004A1ED8">
            <w:pPr>
              <w:spacing w:line="240" w:lineRule="auto"/>
              <w:jc w:val="right"/>
              <w:rPr>
                <w:b/>
                <w:sz w:val="24"/>
                <w:szCs w:val="24"/>
              </w:rPr>
            </w:pPr>
            <w:r>
              <w:rPr>
                <w:b/>
                <w:sz w:val="24"/>
                <w:szCs w:val="24"/>
              </w:rPr>
              <w:t>DN: 75</w:t>
            </w:r>
          </w:p>
        </w:tc>
      </w:tr>
    </w:tbl>
    <w:p w:rsidR="0047123B" w:rsidRDefault="0047123B" w:rsidP="0047123B">
      <w:pPr>
        <w:spacing w:line="240" w:lineRule="auto"/>
        <w:rPr>
          <w:sz w:val="24"/>
          <w:szCs w:val="24"/>
        </w:rPr>
      </w:pPr>
    </w:p>
    <w:p w:rsidR="0047123B" w:rsidRDefault="0047123B" w:rsidP="0047123B">
      <w:pPr>
        <w:spacing w:line="240" w:lineRule="auto"/>
        <w:rPr>
          <w:sz w:val="24"/>
          <w:szCs w:val="24"/>
        </w:rPr>
      </w:pPr>
    </w:p>
    <w:tbl>
      <w:tblPr>
        <w:tblW w:w="9120" w:type="dxa"/>
        <w:tblInd w:w="-120" w:type="dxa"/>
        <w:tblLayout w:type="fixed"/>
        <w:tblLook w:val="0600" w:firstRow="0" w:lastRow="0" w:firstColumn="0" w:lastColumn="0" w:noHBand="1" w:noVBand="1"/>
      </w:tblPr>
      <w:tblGrid>
        <w:gridCol w:w="2370"/>
        <w:gridCol w:w="6750"/>
      </w:tblGrid>
      <w:tr w:rsidR="0047123B" w:rsidTr="004A1ED8">
        <w:tc>
          <w:tcPr>
            <w:tcW w:w="2370" w:type="dxa"/>
            <w:shd w:val="clear" w:color="auto" w:fill="auto"/>
            <w:tcMar>
              <w:top w:w="100" w:type="dxa"/>
              <w:left w:w="100" w:type="dxa"/>
              <w:bottom w:w="100" w:type="dxa"/>
              <w:right w:w="100" w:type="dxa"/>
            </w:tcMar>
          </w:tcPr>
          <w:p w:rsidR="0047123B" w:rsidRDefault="0047123B" w:rsidP="004A1ED8">
            <w:pPr>
              <w:widowControl w:val="0"/>
              <w:spacing w:line="240" w:lineRule="auto"/>
              <w:rPr>
                <w:sz w:val="24"/>
                <w:szCs w:val="24"/>
              </w:rPr>
            </w:pPr>
            <w:r>
              <w:rPr>
                <w:sz w:val="24"/>
                <w:szCs w:val="24"/>
              </w:rPr>
              <w:t>Auftragsumfang:</w:t>
            </w:r>
          </w:p>
        </w:tc>
        <w:tc>
          <w:tcPr>
            <w:tcW w:w="6750" w:type="dxa"/>
            <w:shd w:val="clear" w:color="auto" w:fill="auto"/>
            <w:tcMar>
              <w:top w:w="100" w:type="dxa"/>
              <w:left w:w="100" w:type="dxa"/>
              <w:bottom w:w="100" w:type="dxa"/>
              <w:right w:w="100" w:type="dxa"/>
            </w:tcMar>
          </w:tcPr>
          <w:p w:rsidR="0047123B" w:rsidRDefault="0047123B" w:rsidP="004A1ED8">
            <w:pPr>
              <w:widowControl w:val="0"/>
              <w:spacing w:line="240" w:lineRule="auto"/>
              <w:rPr>
                <w:sz w:val="24"/>
                <w:szCs w:val="24"/>
              </w:rPr>
            </w:pPr>
            <w:bookmarkStart w:id="2" w:name="OLE_LINK16"/>
            <w:r>
              <w:rPr>
                <w:sz w:val="24"/>
                <w:szCs w:val="24"/>
              </w:rPr>
              <w:t xml:space="preserve"/>
            </w:r>
          </w:p>
        </w:tc>
      </w:tr>
      <w:tr w:rsidR="0047123B" w:rsidTr="004A1ED8">
        <w:tc>
          <w:tcPr>
            <w:tcW w:w="2370" w:type="dxa"/>
            <w:shd w:val="clear" w:color="auto" w:fill="auto"/>
            <w:tcMar>
              <w:top w:w="100" w:type="dxa"/>
              <w:left w:w="100" w:type="dxa"/>
              <w:bottom w:w="100" w:type="dxa"/>
              <w:right w:w="100" w:type="dxa"/>
            </w:tcMar>
          </w:tcPr>
          <w:p w:rsidR="0047123B" w:rsidRDefault="0047123B" w:rsidP="004A1ED8">
            <w:pPr>
              <w:widowControl w:val="0"/>
              <w:spacing w:line="240" w:lineRule="auto"/>
              <w:rPr>
                <w:sz w:val="24"/>
                <w:szCs w:val="24"/>
              </w:rPr>
            </w:pPr>
            <w:r>
              <w:rPr>
                <w:sz w:val="24"/>
                <w:szCs w:val="24"/>
              </w:rPr>
              <w:t>Grund:</w:t>
            </w:r>
          </w:p>
        </w:tc>
        <w:tc>
          <w:tcPr>
            <w:tcW w:w="6750" w:type="dxa"/>
            <w:shd w:val="clear" w:color="auto" w:fill="auto"/>
            <w:tcMar>
              <w:top w:w="100" w:type="dxa"/>
              <w:left w:w="100" w:type="dxa"/>
              <w:bottom w:w="100" w:type="dxa"/>
              <w:right w:w="100" w:type="dxa"/>
            </w:tcMar>
          </w:tcPr>
          <w:p w:rsidR="0047123B" w:rsidRDefault="0047123B" w:rsidP="004A1ED8">
            <w:pPr>
              <w:widowControl w:val="0"/>
              <w:spacing w:line="240" w:lineRule="auto"/>
              <w:rPr>
                <w:sz w:val="24"/>
                <w:szCs w:val="24"/>
              </w:rPr>
            </w:pPr>
            <w:r>
              <w:rPr>
                <w:sz w:val="24"/>
                <w:szCs w:val="24"/>
              </w:rPr>
              <w:t/>
            </w:r>
          </w:p>
        </w:tc>
      </w:tr>
    </w:tbl>
    <w:p w:rsidR="0047123B" w:rsidRDefault="0047123B" w:rsidP="0047123B">
      <w:pPr>
        <w:spacing w:line="240" w:lineRule="auto"/>
        <w:rPr>
          <w:sz w:val="24"/>
          <w:szCs w:val="24"/>
        </w:rPr>
      </w:pPr>
    </w:p>
    <w:p w:rsidR="0047123B" w:rsidRDefault="0047123B" w:rsidP="0047123B">
      <w:pPr>
        <w:spacing w:line="240" w:lineRule="auto"/>
        <w:rPr>
          <w:sz w:val="24"/>
          <w:szCs w:val="24"/>
        </w:rPr>
      </w:pPr>
    </w:p>
    <w:tbl>
      <w:tblPr>
        <w:tblW w:w="9150" w:type="dxa"/>
        <w:tblInd w:w="-120" w:type="dxa"/>
        <w:tblLayout w:type="fixed"/>
        <w:tblLook w:val="0600" w:firstRow="0" w:lastRow="0" w:firstColumn="0" w:lastColumn="0" w:noHBand="1" w:noVBand="1"/>
      </w:tblPr>
      <w:tblGrid>
        <w:gridCol w:w="2355"/>
        <w:gridCol w:w="2265"/>
        <w:gridCol w:w="2415"/>
        <w:gridCol w:w="2115"/>
      </w:tblGrid>
      <w:tr w:rsidR="0047123B" w:rsidTr="004A1ED8">
        <w:tc>
          <w:tcPr>
            <w:tcW w:w="235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Pr>
                <w:sz w:val="24"/>
                <w:szCs w:val="24"/>
              </w:rPr>
              <w:t>Auftraggeber</w:t>
            </w:r>
            <w:bookmarkEnd w:id="6"/>
            <w:r>
              <w:rPr>
                <w:sz w:val="24"/>
                <w:szCs w:val="24"/>
              </w:rPr>
              <w:t>:</w:t>
            </w:r>
          </w:p>
        </w:tc>
        <w:tc>
          <w:tcPr>
            <w:tcW w:w="2265" w:type="dxa"/>
            <w:shd w:val="clear" w:color="auto" w:fill="auto"/>
            <w:tcMar>
              <w:top w:w="100" w:type="dxa"/>
              <w:left w:w="100" w:type="dxa"/>
              <w:bottom w:w="100" w:type="dxa"/>
              <w:right w:w="100" w:type="dxa"/>
            </w:tcMar>
          </w:tcPr>
          <w:p w:rsidR="0047123B" w:rsidRDefault="0047123B" w:rsidP="004A1ED8">
            <w:pPr>
              <w:spacing w:line="240" w:lineRule="auto"/>
              <w:rPr>
                <w:sz w:val="24"/>
                <w:szCs w:val="24"/>
              </w:rPr>
            </w:pPr>
            <w:bookmarkStart w:id="8" w:name="OLE_LINK5"/>
            <w:r>
              <w:rPr>
                <w:sz w:val="24"/>
                <w:szCs w:val="24"/>
              </w:rPr>
              <w:t/>
            </w:r>
            <w:bookmarkEnd w:id="8"/>
          </w:p>
          <w:p w:rsidR="0047123B" w:rsidRDefault="0047123B" w:rsidP="004A1ED8">
            <w:pPr>
              <w:widowControl w:val="0"/>
              <w:pBdr>
                <w:top w:val="nil"/>
                <w:left w:val="nil"/>
                <w:bottom w:val="nil"/>
                <w:right w:val="nil"/>
                <w:between w:val="nil"/>
              </w:pBdr>
              <w:spacing w:line="240" w:lineRule="auto"/>
              <w:rPr>
                <w:sz w:val="24"/>
                <w:szCs w:val="24"/>
              </w:rPr>
            </w:pPr>
          </w:p>
        </w:tc>
        <w:tc>
          <w:tcPr>
            <w:tcW w:w="24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r>
              <w:rPr>
                <w:sz w:val="24"/>
                <w:szCs w:val="24"/>
              </w:rPr>
              <w:t>Rechnungsadresse:</w:t>
            </w:r>
          </w:p>
        </w:tc>
        <w:tc>
          <w:tcPr>
            <w:tcW w:w="21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r>
              <w:rPr>
                <w:sz w:val="24"/>
                <w:szCs w:val="24"/>
              </w:rPr>
              <w:t xml:space="preserve"/>
            </w:r>
          </w:p>
        </w:tc>
      </w:tr>
      <w:tr w:rsidR="0047123B" w:rsidTr="004A1ED8">
        <w:tc>
          <w:tcPr>
            <w:tcW w:w="2355" w:type="dxa"/>
            <w:shd w:val="clear" w:color="auto" w:fill="auto"/>
            <w:tcMar>
              <w:top w:w="100" w:type="dxa"/>
              <w:left w:w="100" w:type="dxa"/>
              <w:bottom w:w="100" w:type="dxa"/>
              <w:right w:w="100" w:type="dxa"/>
            </w:tcMar>
          </w:tcPr>
          <w:p w:rsidR="0047123B" w:rsidRDefault="0047123B" w:rsidP="004A1ED8">
            <w:pPr>
              <w:widowControl w:val="0"/>
              <w:spacing w:line="240" w:lineRule="auto"/>
              <w:rPr>
                <w:sz w:val="24"/>
                <w:szCs w:val="24"/>
              </w:rPr>
            </w:pPr>
            <w:bookmarkStart w:id="11" w:name="OLE_LINK9"/>
            <w:bookmarkEnd w:id="7"/>
            <w:r>
              <w:rPr>
                <w:sz w:val="24"/>
                <w:szCs w:val="24"/>
              </w:rPr>
              <w:t>Bauherr</w:t>
            </w:r>
            <w:bookmarkEnd w:id="11"/>
            <w:r>
              <w:rPr>
                <w:sz w:val="24"/>
                <w:szCs w:val="24"/>
              </w:rPr>
              <w:t>:</w:t>
            </w:r>
          </w:p>
        </w:tc>
        <w:tc>
          <w:tcPr>
            <w:tcW w:w="2265" w:type="dxa"/>
            <w:shd w:val="clear" w:color="auto" w:fill="auto"/>
            <w:tcMar>
              <w:top w:w="100" w:type="dxa"/>
              <w:left w:w="100" w:type="dxa"/>
              <w:bottom w:w="100" w:type="dxa"/>
              <w:right w:w="100" w:type="dxa"/>
            </w:tcMar>
          </w:tcPr>
          <w:p w:rsidR="0047123B" w:rsidRDefault="0047123B" w:rsidP="004A1ED8">
            <w:pPr>
              <w:widowControl w:val="0"/>
              <w:spacing w:line="240" w:lineRule="auto"/>
              <w:rPr>
                <w:sz w:val="24"/>
                <w:szCs w:val="24"/>
              </w:rPr>
            </w:pPr>
            <w:bookmarkStart w:id="12" w:name="OLE_LINK7"/>
            <w:r>
              <w:rPr>
                <w:sz w:val="24"/>
                <w:szCs w:val="24"/>
              </w:rPr>
              <w:t>Alex Kitic</w:t>
            </w:r>
            <w:bookmarkEnd w:id="12"/>
            <w:r>
              <w:rPr>
                <w:sz w:val="24"/>
                <w:szCs w:val="24"/>
              </w:rPr>
              <w:t xml:space="preserve"> </w:t>
            </w:r>
            <w:bookmarkStart w:id="13" w:name="OLE_LINK13"/>
            <w:r>
              <w:rPr>
                <w:sz w:val="24"/>
                <w:szCs w:val="24"/>
              </w:rPr>
              <w:t>076 369 78 08</w:t>
            </w:r>
            <w:bookmarkEnd w:id="13"/>
          </w:p>
          <w:p w:rsidR="0047123B" w:rsidRDefault="0047123B" w:rsidP="004A1ED8">
            <w:pPr>
              <w:widowControl w:val="0"/>
              <w:spacing w:line="240" w:lineRule="auto"/>
              <w:rPr>
                <w:sz w:val="24"/>
                <w:szCs w:val="24"/>
              </w:rPr>
            </w:pPr>
            <w:r>
              <w:rPr>
                <w:sz w:val="24"/>
                <w:szCs w:val="24"/>
              </w:rPr>
              <w:t>info@kigips.ch</w:t>
            </w:r>
          </w:p>
        </w:tc>
        <w:tc>
          <w:tcPr>
            <w:tcW w:w="24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r>
      <w:tr w:rsidR="0047123B" w:rsidTr="004A1ED8">
        <w:tc>
          <w:tcPr>
            <w:tcW w:w="2355" w:type="dxa"/>
          </w:tcPr>
          <w:p w:rsidR="0047123B" w:rsidRDefault="0047123B" w:rsidP="004A1ED8">
            <w:pPr>
              <w:spacing w:line="240" w:lineRule="auto"/>
              <w:rPr>
                <w:sz w:val="24"/>
                <w:szCs w:val="24"/>
              </w:rPr>
            </w:pPr>
            <w:r>
              <w:rPr>
                <w:sz w:val="24"/>
                <w:szCs w:val="24"/>
              </w:rPr>
              <w:t>Zeitpunkt der Untersuchung</w:t>
            </w:r>
          </w:p>
        </w:tc>
        <w:tc>
          <w:tcPr>
            <w:tcW w:w="2265" w:type="dxa"/>
          </w:tcPr>
          <w:p w:rsidR="0047123B" w:rsidRDefault="0047123B" w:rsidP="004A1ED8">
            <w:pPr>
              <w:spacing w:line="240" w:lineRule="auto"/>
              <w:rPr>
                <w:sz w:val="24"/>
                <w:szCs w:val="24"/>
              </w:rPr>
            </w:pPr>
            <w:r>
              <w:rPr>
                <w:sz w:val="24"/>
                <w:szCs w:val="24"/>
              </w:rPr>
              <w:t/>
            </w:r>
          </w:p>
        </w:tc>
        <w:tc>
          <w:tcPr>
            <w:tcW w:w="24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r>
              <w:rPr>
                <w:sz w:val="24"/>
                <w:szCs w:val="24"/>
              </w:rPr>
              <w:t>Während Untersuchung anwesend:</w:t>
            </w:r>
          </w:p>
        </w:tc>
        <w:tc>
          <w:tcPr>
            <w:tcW w:w="21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Pr>
                <w:sz w:val="24"/>
                <w:szCs w:val="24"/>
              </w:rPr>
              <w:t/>
            </w:r>
          </w:p>
        </w:tc>
      </w:tr>
      <w:tr w:rsidR="0047123B" w:rsidTr="004A1ED8">
        <w:tc>
          <w:tcPr>
            <w:tcW w:w="2355" w:type="dxa"/>
          </w:tcPr>
          <w:p w:rsidR="0047123B" w:rsidRDefault="0047123B" w:rsidP="004A1ED8">
            <w:pPr>
              <w:spacing w:line="240" w:lineRule="auto"/>
              <w:rPr>
                <w:sz w:val="24"/>
                <w:szCs w:val="24"/>
              </w:rPr>
            </w:pPr>
            <w:r>
              <w:rPr>
                <w:sz w:val="24"/>
                <w:szCs w:val="24"/>
              </w:rPr>
              <w:t>Zusätzliche Beigabe</w:t>
            </w:r>
          </w:p>
        </w:tc>
        <w:tc>
          <w:tcPr>
            <w:tcW w:w="2265" w:type="dxa"/>
          </w:tcPr>
          <w:p w:rsidR="0047123B" w:rsidRDefault="0047123B" w:rsidP="004A1ED8">
            <w:pPr>
              <w:spacing w:line="240" w:lineRule="auto"/>
              <w:rPr>
                <w:sz w:val="24"/>
                <w:szCs w:val="24"/>
              </w:rPr>
            </w:pPr>
            <w:r>
              <w:rPr>
                <w:sz w:val="24"/>
                <w:szCs w:val="24"/>
              </w:rPr>
              <w:t>-Fotodok</w:t>
            </w:r>
            <w:r>
              <w:rPr>
                <w:sz w:val="24"/>
                <w:szCs w:val="24"/>
              </w:rPr>
              <w:br/>
              <w:t>-Pläne</w:t>
            </w:r>
            <w:r>
              <w:rPr>
                <w:sz w:val="24"/>
                <w:szCs w:val="24"/>
              </w:rPr>
              <w:br/>
              <w:t>-Resultate</w:t>
            </w:r>
          </w:p>
        </w:tc>
        <w:tc>
          <w:tcPr>
            <w:tcW w:w="24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r>
      <w:tr w:rsidR="0047123B" w:rsidTr="004A1ED8">
        <w:trPr>
          <w:trHeight w:val="465"/>
        </w:trPr>
        <w:tc>
          <w:tcPr>
            <w:tcW w:w="2355" w:type="dxa"/>
          </w:tcPr>
          <w:p w:rsidR="0047123B" w:rsidRDefault="0047123B" w:rsidP="004A1ED8">
            <w:pPr>
              <w:spacing w:line="240" w:lineRule="auto"/>
              <w:rPr>
                <w:sz w:val="24"/>
                <w:szCs w:val="24"/>
              </w:rPr>
            </w:pPr>
            <w:r>
              <w:rPr>
                <w:sz w:val="24"/>
                <w:szCs w:val="24"/>
              </w:rPr>
              <w:t>Chur, 08 January 2025</w:t>
            </w:r>
          </w:p>
        </w:tc>
        <w:tc>
          <w:tcPr>
            <w:tcW w:w="2265" w:type="dxa"/>
          </w:tcPr>
          <w:p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r>
      <w:tr w:rsidR="0047123B" w:rsidTr="004A1ED8">
        <w:trPr>
          <w:trHeight w:val="870"/>
        </w:trPr>
        <w:tc>
          <w:tcPr>
            <w:tcW w:w="2355" w:type="dxa"/>
          </w:tcPr>
          <w:p w:rsidR="0047123B" w:rsidRDefault="0047123B" w:rsidP="004A1ED8">
            <w:pPr>
              <w:spacing w:line="240" w:lineRule="auto"/>
              <w:rPr>
                <w:sz w:val="24"/>
                <w:szCs w:val="24"/>
              </w:rPr>
            </w:pPr>
            <w:r>
              <w:rPr>
                <w:sz w:val="24"/>
                <w:szCs w:val="24"/>
              </w:rPr>
              <w:t>Unterschrift</w:t>
            </w:r>
          </w:p>
        </w:tc>
        <w:tc>
          <w:tcPr>
            <w:tcW w:w="2265" w:type="dxa"/>
          </w:tcPr>
          <w:p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r>
      <w:tr w:rsidR="0047123B" w:rsidTr="004A1ED8">
        <w:trPr>
          <w:trHeight w:val="390"/>
        </w:trPr>
        <w:tc>
          <w:tcPr>
            <w:tcW w:w="2355" w:type="dxa"/>
          </w:tcPr>
          <w:p w:rsidR="0047123B" w:rsidRDefault="0047123B" w:rsidP="004A1ED8">
            <w:pPr>
              <w:spacing w:line="240" w:lineRule="auto"/>
              <w:rPr>
                <w:sz w:val="24"/>
                <w:szCs w:val="24"/>
              </w:rPr>
            </w:pPr>
            <w:r>
              <w:rPr>
                <w:sz w:val="24"/>
                <w:szCs w:val="24"/>
              </w:rPr>
              <w:t/>
            </w:r>
          </w:p>
        </w:tc>
        <w:tc>
          <w:tcPr>
            <w:tcW w:w="2265" w:type="dxa"/>
          </w:tcPr>
          <w:p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r>
    </w:tbl>
    <w:p w:rsidR="0047123B" w:rsidRDefault="0047123B" w:rsidP="0047123B">
      <w:pPr>
        <w:spacing w:line="240" w:lineRule="auto"/>
        <w:rPr>
          <w:sz w:val="24"/>
          <w:szCs w:val="24"/>
        </w:rPr>
      </w:pPr>
    </w:p>
    <w:p w:rsidR="0047123B" w:rsidRDefault="0047123B" w:rsidP="0047123B">
      <w:pPr>
        <w:pStyle w:val="Heading1"/>
        <w:numPr>
          <w:ilvl w:val="0"/>
          <w:numId w:val="5"/>
        </w:numPr>
        <w:spacing w:before="240" w:after="0" w:line="240" w:lineRule="auto"/>
        <w:rPr>
          <w:rFonts w:ascii="Calibri" w:eastAsia="Calibri" w:hAnsi="Calibri" w:cs="Calibri"/>
          <w:b/>
          <w:color w:val="2F5496"/>
          <w:sz w:val="32"/>
          <w:szCs w:val="32"/>
        </w:rPr>
      </w:pPr>
      <w:bookmarkStart w:id="18" w:name="_gjdgxs" w:colFirst="0" w:colLast="0"/>
      <w:bookmarkEnd w:id="18"/>
      <w:r>
        <w:rPr>
          <w:rFonts w:ascii="Calibri" w:eastAsia="Calibri" w:hAnsi="Calibri" w:cs="Calibri"/>
          <w:b/>
          <w:color w:val="2F5496"/>
          <w:sz w:val="32"/>
          <w:szCs w:val="32"/>
        </w:rPr>
        <w:t>Grundlagen</w:t>
      </w:r>
    </w:p>
    <w:p w:rsidR="0047123B" w:rsidRDefault="0047123B" w:rsidP="0047123B">
      <w:pPr>
        <w:shd w:val="clear" w:color="auto" w:fill="FFFFFF"/>
        <w:spacing w:line="240" w:lineRule="auto"/>
        <w:rPr>
          <w:sz w:val="24"/>
          <w:szCs w:val="24"/>
        </w:rPr>
      </w:pPr>
    </w:p>
    <w:p w:rsidR="0047123B" w:rsidRDefault="0047123B" w:rsidP="0047123B">
      <w:pPr>
        <w:shd w:val="clear" w:color="auto" w:fill="FFFFFF"/>
        <w:spacing w:line="240" w:lineRule="auto"/>
        <w:rPr>
          <w:sz w:val="24"/>
          <w:szCs w:val="24"/>
        </w:rPr>
      </w:pPr>
      <w:r>
        <w:rPr>
          <w:sz w:val="24"/>
          <w:szCs w:val="24"/>
        </w:rPr>
        <w:t xml:space="preserve">Nachfolgend finden Sie eine Übersicht der wesentlichen gesetzlichen Grundlagen und Richtlinien, die für den Umgang mit umwelt- und gesundheitsgefährdenden Stoffen relevant sind: </w:t>
      </w:r>
    </w:p>
    <w:p w:rsidR="0047123B" w:rsidRDefault="0047123B" w:rsidP="0047123B">
      <w:pPr>
        <w:shd w:val="clear" w:color="auto" w:fill="FFFFFF"/>
        <w:spacing w:line="240" w:lineRule="auto"/>
        <w:rPr>
          <w:sz w:val="24"/>
          <w:szCs w:val="24"/>
        </w:rPr>
      </w:pPr>
    </w:p>
    <w:p w:rsidR="0047123B" w:rsidRDefault="0047123B" w:rsidP="0047123B">
      <w:pPr>
        <w:numPr>
          <w:ilvl w:val="0"/>
          <w:numId w:val="7"/>
        </w:numPr>
        <w:shd w:val="clear" w:color="auto" w:fill="FFFFFF"/>
        <w:spacing w:line="240" w:lineRule="auto"/>
        <w:rPr>
          <w:b/>
          <w:sz w:val="24"/>
          <w:szCs w:val="24"/>
        </w:rPr>
      </w:pPr>
      <w:r>
        <w:rPr>
          <w:b/>
          <w:sz w:val="24"/>
          <w:szCs w:val="24"/>
        </w:rPr>
        <w:t xml:space="preserve">Umweltschutzgesetz (USG): Regelt den Schutz der Umwelt vor schädlichen Einwirkungen (Stand: 1. Januar 2022). </w:t>
      </w:r>
    </w:p>
    <w:p w:rsidR="0047123B" w:rsidRDefault="0047123B" w:rsidP="0047123B">
      <w:pPr>
        <w:shd w:val="clear" w:color="auto" w:fill="FFFFFF"/>
        <w:spacing w:line="240" w:lineRule="auto"/>
        <w:rPr>
          <w:b/>
          <w:sz w:val="24"/>
          <w:szCs w:val="24"/>
        </w:rPr>
      </w:pPr>
    </w:p>
    <w:p w:rsidR="0047123B" w:rsidRDefault="0047123B" w:rsidP="0047123B">
      <w:pPr>
        <w:numPr>
          <w:ilvl w:val="0"/>
          <w:numId w:val="7"/>
        </w:numPr>
        <w:shd w:val="clear" w:color="auto" w:fill="FFFFFF"/>
        <w:spacing w:line="240" w:lineRule="auto"/>
        <w:rPr>
          <w:b/>
          <w:sz w:val="24"/>
          <w:szCs w:val="24"/>
        </w:rPr>
      </w:pPr>
      <w:r>
        <w:rPr>
          <w:b/>
          <w:sz w:val="24"/>
          <w:szCs w:val="24"/>
        </w:rPr>
        <w:t>Chemikalien-Risikoreduktions-Verordnung (ChemRRV): Vorschriften zur Reduktion von Risiken beim Umgang mit gefährlichen Stoffen</w:t>
      </w:r>
      <w:r>
        <w:rPr>
          <w:b/>
          <w:sz w:val="24"/>
          <w:szCs w:val="24"/>
        </w:rPr>
        <w:br/>
        <w:t>(Stand: 6. Oktober 2022).</w:t>
      </w:r>
    </w:p>
    <w:p w:rsidR="0047123B" w:rsidRDefault="0047123B" w:rsidP="0047123B">
      <w:pPr>
        <w:shd w:val="clear" w:color="auto" w:fill="FFFFFF"/>
        <w:spacing w:line="240" w:lineRule="auto"/>
        <w:rPr>
          <w:b/>
          <w:sz w:val="24"/>
          <w:szCs w:val="24"/>
        </w:rPr>
      </w:pPr>
    </w:p>
    <w:p w:rsidR="0047123B" w:rsidRDefault="0047123B" w:rsidP="0047123B">
      <w:pPr>
        <w:numPr>
          <w:ilvl w:val="0"/>
          <w:numId w:val="7"/>
        </w:numPr>
        <w:shd w:val="clear" w:color="auto" w:fill="FFFFFF"/>
        <w:spacing w:line="240" w:lineRule="auto"/>
        <w:rPr>
          <w:b/>
          <w:sz w:val="24"/>
          <w:szCs w:val="24"/>
        </w:rPr>
      </w:pPr>
      <w:r>
        <w:rPr>
          <w:b/>
          <w:sz w:val="24"/>
          <w:szCs w:val="24"/>
        </w:rPr>
        <w:t xml:space="preserve">Unfallversicherungsgesetz (UVG) und Verordnung über die Unfallverhütung (VUV): Rahmenbedingungen für die Verhütung von Unfällen und Berufskrankheiten (Stand: 1. Januar 2022). </w:t>
      </w:r>
    </w:p>
    <w:p w:rsidR="0047123B" w:rsidRDefault="0047123B" w:rsidP="0047123B">
      <w:pPr>
        <w:shd w:val="clear" w:color="auto" w:fill="FFFFFF"/>
        <w:spacing w:line="240" w:lineRule="auto"/>
        <w:rPr>
          <w:b/>
          <w:sz w:val="24"/>
          <w:szCs w:val="24"/>
        </w:rPr>
      </w:pPr>
    </w:p>
    <w:p w:rsidR="0047123B" w:rsidRDefault="0047123B" w:rsidP="0047123B">
      <w:pPr>
        <w:numPr>
          <w:ilvl w:val="0"/>
          <w:numId w:val="7"/>
        </w:numPr>
        <w:shd w:val="clear" w:color="auto" w:fill="FFFFFF"/>
        <w:spacing w:line="240" w:lineRule="auto"/>
        <w:rPr>
          <w:b/>
          <w:sz w:val="24"/>
          <w:szCs w:val="24"/>
        </w:rPr>
      </w:pPr>
      <w:r>
        <w:rPr>
          <w:b/>
          <w:sz w:val="24"/>
          <w:szCs w:val="24"/>
        </w:rPr>
        <w:t>Abfallverordnungen (VVEA, VeVA): Regelungen zur Vermeidung, Entsorgung und zum Verkehr mit Abfällen (Stand: 1. Januar 2023).</w:t>
      </w:r>
    </w:p>
    <w:p w:rsidR="0047123B" w:rsidRDefault="0047123B" w:rsidP="0047123B">
      <w:pPr>
        <w:shd w:val="clear" w:color="auto" w:fill="FFFFFF"/>
        <w:spacing w:line="240" w:lineRule="auto"/>
        <w:rPr>
          <w:b/>
          <w:sz w:val="24"/>
          <w:szCs w:val="24"/>
        </w:rPr>
      </w:pPr>
    </w:p>
    <w:p w:rsidR="0047123B" w:rsidRDefault="0047123B" w:rsidP="0047123B">
      <w:pPr>
        <w:numPr>
          <w:ilvl w:val="0"/>
          <w:numId w:val="7"/>
        </w:numPr>
        <w:shd w:val="clear" w:color="auto" w:fill="FFFFFF"/>
        <w:spacing w:line="240" w:lineRule="auto"/>
        <w:rPr>
          <w:b/>
          <w:sz w:val="24"/>
          <w:szCs w:val="24"/>
        </w:rPr>
      </w:pPr>
      <w:r>
        <w:rPr>
          <w:b/>
          <w:sz w:val="24"/>
          <w:szCs w:val="24"/>
        </w:rPr>
        <w:t>Asbest-Richtlinien und SUVA-Factsheets: Umfassende Anweisungen zum sicheren Umgang mit Asbest in verschiedenen Anwendungen, sowie Hinweise zur Sanierung und Rückbau (verschiedene Stände).</w:t>
      </w:r>
    </w:p>
    <w:p w:rsidR="0047123B" w:rsidRDefault="0047123B" w:rsidP="0047123B">
      <w:pPr>
        <w:shd w:val="clear" w:color="auto" w:fill="FFFFFF"/>
        <w:spacing w:line="240" w:lineRule="auto"/>
        <w:rPr>
          <w:b/>
          <w:sz w:val="24"/>
          <w:szCs w:val="24"/>
        </w:rPr>
      </w:pPr>
    </w:p>
    <w:p w:rsidR="0047123B" w:rsidRDefault="0047123B" w:rsidP="0047123B">
      <w:pPr>
        <w:numPr>
          <w:ilvl w:val="0"/>
          <w:numId w:val="7"/>
        </w:numPr>
        <w:shd w:val="clear" w:color="auto" w:fill="FFFFFF"/>
        <w:spacing w:line="240" w:lineRule="auto"/>
        <w:rPr>
          <w:b/>
          <w:sz w:val="24"/>
          <w:szCs w:val="24"/>
        </w:rPr>
      </w:pPr>
      <w:r>
        <w:rPr>
          <w:b/>
          <w:sz w:val="24"/>
          <w:szCs w:val="24"/>
        </w:rPr>
        <w:t xml:space="preserve">ILO-Übereinkommen Nr. 162: Internationale Standards zur Sicherheit bei der Verwendung von Asbest. </w:t>
      </w:r>
    </w:p>
    <w:p w:rsidR="0047123B" w:rsidRDefault="0047123B" w:rsidP="0047123B">
      <w:pPr>
        <w:shd w:val="clear" w:color="auto" w:fill="FFFFFF"/>
        <w:spacing w:line="240" w:lineRule="auto"/>
        <w:rPr>
          <w:b/>
          <w:sz w:val="24"/>
          <w:szCs w:val="24"/>
        </w:rPr>
      </w:pPr>
    </w:p>
    <w:p w:rsidR="0047123B" w:rsidRDefault="0047123B" w:rsidP="0047123B">
      <w:pPr>
        <w:numPr>
          <w:ilvl w:val="0"/>
          <w:numId w:val="7"/>
        </w:numPr>
        <w:shd w:val="clear" w:color="auto" w:fill="FFFFFF"/>
        <w:spacing w:line="240" w:lineRule="auto"/>
        <w:rPr>
          <w:b/>
          <w:sz w:val="24"/>
          <w:szCs w:val="24"/>
        </w:rPr>
      </w:pPr>
      <w:r>
        <w:rPr>
          <w:b/>
          <w:sz w:val="24"/>
          <w:szCs w:val="24"/>
        </w:rPr>
        <w:t xml:space="preserve">PCB-Richtlinien und Wegleitungen: Spezifische Vorgaben zur sachgerechten Entfernung und Entsorgung von PCB-haltigen Materialien (Stand: 2020). </w:t>
      </w:r>
    </w:p>
    <w:p w:rsidR="0047123B" w:rsidRDefault="0047123B" w:rsidP="0047123B">
      <w:pPr>
        <w:spacing w:line="240" w:lineRule="auto"/>
        <w:rPr>
          <w:sz w:val="24"/>
          <w:szCs w:val="24"/>
        </w:rPr>
      </w:pPr>
    </w:p>
    <w:p w:rsidR="0047123B" w:rsidRDefault="0047123B" w:rsidP="0047123B">
      <w:pPr>
        <w:keepNext/>
        <w:keepLines/>
        <w:spacing w:line="240" w:lineRule="auto"/>
        <w:rPr>
          <w:sz w:val="26"/>
          <w:szCs w:val="26"/>
        </w:rPr>
      </w:pPr>
      <w:bookmarkStart w:id="19" w:name="_mbcpup475s1x" w:colFirst="0" w:colLast="0"/>
      <w:bookmarkEnd w:id="19"/>
      <w:r>
        <w:rPr>
          <w:sz w:val="26"/>
          <w:szCs w:val="26"/>
        </w:rPr>
        <w:br/>
      </w:r>
    </w:p>
    <w:p w:rsidR="0047123B" w:rsidRDefault="0047123B" w:rsidP="0047123B">
      <w:pPr>
        <w:spacing w:line="240" w:lineRule="auto"/>
        <w:rPr>
          <w:sz w:val="24"/>
          <w:szCs w:val="24"/>
        </w:rPr>
      </w:pPr>
    </w:p>
    <w:p w:rsidR="0047123B" w:rsidRDefault="0047123B" w:rsidP="0047123B">
      <w:pPr>
        <w:spacing w:line="240" w:lineRule="auto"/>
        <w:rPr>
          <w:sz w:val="24"/>
          <w:szCs w:val="24"/>
        </w:rPr>
      </w:pPr>
    </w:p>
    <w:p w:rsidR="0047123B" w:rsidRDefault="0047123B" w:rsidP="0047123B">
      <w:pPr>
        <w:spacing w:line="240" w:lineRule="auto"/>
        <w:rPr>
          <w:sz w:val="24"/>
          <w:szCs w:val="24"/>
        </w:rPr>
      </w:pPr>
    </w:p>
    <w:p w:rsidR="0047123B" w:rsidRDefault="0047123B" w:rsidP="0047123B">
      <w:pPr>
        <w:spacing w:line="240" w:lineRule="auto"/>
        <w:rPr>
          <w:sz w:val="24"/>
          <w:szCs w:val="24"/>
        </w:rPr>
      </w:pPr>
    </w:p>
    <w:p w:rsidR="0047123B" w:rsidRDefault="0047123B" w:rsidP="0047123B">
      <w:pPr>
        <w:spacing w:line="240" w:lineRule="auto"/>
        <w:rPr>
          <w:sz w:val="24"/>
          <w:szCs w:val="24"/>
        </w:rPr>
      </w:pPr>
      <w:r>
        <w:br w:type="page"/>
      </w:r>
    </w:p>
    <w:p w:rsidR="0047123B" w:rsidRDefault="0047123B" w:rsidP="0047123B">
      <w:pPr>
        <w:pStyle w:val="Heading1"/>
        <w:numPr>
          <w:ilvl w:val="0"/>
          <w:numId w:val="5"/>
        </w:numPr>
        <w:spacing w:before="240" w:after="0" w:line="240" w:lineRule="auto"/>
        <w:rPr>
          <w:rFonts w:ascii="Calibri" w:eastAsia="Calibri" w:hAnsi="Calibri" w:cs="Calibri"/>
          <w:b/>
          <w:color w:val="2F5496"/>
          <w:sz w:val="32"/>
          <w:szCs w:val="32"/>
        </w:rPr>
      </w:pPr>
      <w:bookmarkStart w:id="20" w:name="_2et92p0" w:colFirst="0" w:colLast="0"/>
      <w:bookmarkStart w:id="21" w:name="OLE_LINK41"/>
      <w:bookmarkEnd w:id="20"/>
      <w:r>
        <w:rPr>
          <w:rFonts w:ascii="Calibri" w:eastAsia="Calibri" w:hAnsi="Calibri" w:cs="Calibri"/>
          <w:b/>
          <w:color w:val="2F5496"/>
          <w:sz w:val="32"/>
          <w:szCs w:val="32"/>
        </w:rPr>
        <w:lastRenderedPageBreak/>
        <w:t>Schadstoffuntersuchung</w:t>
      </w:r>
    </w:p>
    <w:bookmarkEnd w:id="21"/>
    <w:p w:rsidR="0047123B" w:rsidRDefault="0047123B" w:rsidP="0047123B">
      <w:pPr>
        <w:spacing w:line="240" w:lineRule="auto"/>
        <w:rPr>
          <w:color w:val="0070C0"/>
          <w:sz w:val="24"/>
          <w:szCs w:val="24"/>
        </w:rPr>
      </w:pPr>
    </w:p>
    <w:p w:rsidR="0047123B" w:rsidRDefault="0047123B" w:rsidP="0047123B">
      <w:pPr>
        <w:pStyle w:val="Heading2"/>
        <w:numPr>
          <w:ilvl w:val="1"/>
          <w:numId w:val="5"/>
        </w:numPr>
        <w:spacing w:before="40" w:after="0" w:line="240" w:lineRule="auto"/>
        <w:rPr>
          <w:rFonts w:ascii="Calibri" w:eastAsia="Calibri" w:hAnsi="Calibri" w:cs="Calibri"/>
          <w:b/>
          <w:color w:val="2F5496"/>
          <w:sz w:val="26"/>
          <w:szCs w:val="26"/>
        </w:rPr>
      </w:pPr>
      <w:bookmarkStart w:id="22" w:name="_tyjcwt" w:colFirst="0" w:colLast="0"/>
      <w:bookmarkEnd w:id="22"/>
      <w:r>
        <w:rPr>
          <w:rFonts w:ascii="Calibri" w:eastAsia="Calibri" w:hAnsi="Calibri" w:cs="Calibri"/>
          <w:b/>
          <w:color w:val="2F5496"/>
          <w:sz w:val="26"/>
          <w:szCs w:val="26"/>
        </w:rPr>
        <w:t>Ausgeführte Leistungen</w:t>
      </w:r>
    </w:p>
    <w:p w:rsidR="0047123B" w:rsidRDefault="0047123B" w:rsidP="0047123B">
      <w:pPr>
        <w:spacing w:line="240" w:lineRule="auto"/>
        <w:rPr>
          <w:sz w:val="24"/>
          <w:szCs w:val="24"/>
        </w:rPr>
      </w:pPr>
    </w:p>
    <w:p w:rsidR="0047123B" w:rsidRDefault="0047123B" w:rsidP="0047123B">
      <w:pPr>
        <w:numPr>
          <w:ilvl w:val="0"/>
          <w:numId w:val="8"/>
        </w:numPr>
        <w:shd w:val="clear" w:color="auto" w:fill="FFFFFF"/>
        <w:spacing w:line="240" w:lineRule="auto"/>
        <w:rPr>
          <w:sz w:val="24"/>
          <w:szCs w:val="24"/>
        </w:rPr>
      </w:pPr>
      <w:r>
        <w:rPr>
          <w:sz w:val="24"/>
          <w:szCs w:val="24"/>
        </w:rPr>
        <w:t xml:space="preserve">Probenahme von verdächtigen Materialien und Bausubstanz </w:t>
      </w:r>
    </w:p>
    <w:p w:rsidR="0047123B" w:rsidRDefault="0047123B" w:rsidP="0047123B">
      <w:pPr>
        <w:numPr>
          <w:ilvl w:val="0"/>
          <w:numId w:val="8"/>
        </w:numPr>
        <w:shd w:val="clear" w:color="auto" w:fill="FFFFFF"/>
        <w:spacing w:line="240" w:lineRule="auto"/>
        <w:rPr>
          <w:sz w:val="24"/>
          <w:szCs w:val="24"/>
        </w:rPr>
      </w:pPr>
      <w:r>
        <w:rPr>
          <w:sz w:val="24"/>
          <w:szCs w:val="24"/>
        </w:rPr>
        <w:t xml:space="preserve">Fotodokumentation der verdächtigen Materialien und Bausubstanz </w:t>
      </w:r>
    </w:p>
    <w:p w:rsidR="0047123B" w:rsidRDefault="0047123B" w:rsidP="0047123B">
      <w:pPr>
        <w:numPr>
          <w:ilvl w:val="0"/>
          <w:numId w:val="8"/>
        </w:numPr>
        <w:shd w:val="clear" w:color="auto" w:fill="FFFFFF"/>
        <w:spacing w:line="240" w:lineRule="auto"/>
        <w:rPr>
          <w:sz w:val="24"/>
          <w:szCs w:val="24"/>
        </w:rPr>
      </w:pPr>
      <w:r>
        <w:rPr>
          <w:sz w:val="24"/>
          <w:szCs w:val="24"/>
        </w:rPr>
        <w:t xml:space="preserve">Beschreibung des Analyseauftrags und Versand der Materialproben ins Labor </w:t>
      </w:r>
    </w:p>
    <w:p w:rsidR="0047123B" w:rsidRDefault="0047123B" w:rsidP="0047123B">
      <w:pPr>
        <w:numPr>
          <w:ilvl w:val="0"/>
          <w:numId w:val="8"/>
        </w:numPr>
        <w:shd w:val="clear" w:color="auto" w:fill="FFFFFF"/>
        <w:spacing w:line="240" w:lineRule="auto"/>
        <w:rPr>
          <w:sz w:val="24"/>
          <w:szCs w:val="24"/>
        </w:rPr>
      </w:pPr>
      <w:r>
        <w:rPr>
          <w:sz w:val="24"/>
          <w:szCs w:val="24"/>
        </w:rPr>
        <w:t xml:space="preserve">Auswertung, Interpretation und Dokumentation der Analyseresultate </w:t>
      </w:r>
    </w:p>
    <w:p w:rsidR="0047123B" w:rsidRDefault="0047123B" w:rsidP="0047123B">
      <w:pPr>
        <w:numPr>
          <w:ilvl w:val="0"/>
          <w:numId w:val="8"/>
        </w:numPr>
        <w:shd w:val="clear" w:color="auto" w:fill="FFFFFF"/>
        <w:spacing w:line="240" w:lineRule="auto"/>
        <w:rPr>
          <w:sz w:val="24"/>
          <w:szCs w:val="24"/>
        </w:rPr>
      </w:pPr>
      <w:r>
        <w:rPr>
          <w:sz w:val="24"/>
          <w:szCs w:val="24"/>
        </w:rPr>
        <w:t xml:space="preserve">Berichterstattung </w:t>
      </w:r>
    </w:p>
    <w:p w:rsidR="0047123B" w:rsidRDefault="0047123B" w:rsidP="0047123B">
      <w:pPr>
        <w:numPr>
          <w:ilvl w:val="0"/>
          <w:numId w:val="8"/>
        </w:numPr>
        <w:shd w:val="clear" w:color="auto" w:fill="FFFFFF"/>
        <w:spacing w:line="240" w:lineRule="auto"/>
        <w:rPr>
          <w:sz w:val="24"/>
          <w:szCs w:val="24"/>
        </w:rPr>
      </w:pPr>
      <w:r>
        <w:rPr>
          <w:sz w:val="24"/>
          <w:szCs w:val="24"/>
        </w:rPr>
        <w:t xml:space="preserve">Laboranalytik der Asbest-Proben durch die Analysis Lab SA in Biel </w:t>
      </w:r>
    </w:p>
    <w:p w:rsidR="0047123B" w:rsidRDefault="0047123B" w:rsidP="0047123B">
      <w:pPr>
        <w:spacing w:line="240" w:lineRule="auto"/>
        <w:rPr>
          <w:sz w:val="24"/>
          <w:szCs w:val="24"/>
        </w:rPr>
      </w:pPr>
    </w:p>
    <w:p w:rsidR="0047123B" w:rsidRDefault="0047123B" w:rsidP="0047123B">
      <w:pPr>
        <w:spacing w:line="240" w:lineRule="auto"/>
        <w:rPr>
          <w:sz w:val="24"/>
          <w:szCs w:val="24"/>
        </w:rPr>
      </w:pPr>
    </w:p>
    <w:p w:rsidR="0047123B" w:rsidRDefault="0047123B" w:rsidP="0047123B">
      <w:pPr>
        <w:pStyle w:val="Heading2"/>
        <w:numPr>
          <w:ilvl w:val="1"/>
          <w:numId w:val="5"/>
        </w:numPr>
        <w:spacing w:before="40" w:after="0" w:line="240" w:lineRule="auto"/>
        <w:rPr>
          <w:rFonts w:ascii="Calibri" w:eastAsia="Calibri" w:hAnsi="Calibri" w:cs="Calibri"/>
          <w:b/>
          <w:color w:val="2F5496"/>
          <w:sz w:val="26"/>
          <w:szCs w:val="26"/>
        </w:rPr>
      </w:pPr>
      <w:bookmarkStart w:id="23" w:name="_3dy6vkm" w:colFirst="0" w:colLast="0"/>
      <w:bookmarkEnd w:id="23"/>
      <w:r>
        <w:rPr>
          <w:rFonts w:ascii="Calibri" w:eastAsia="Calibri" w:hAnsi="Calibri" w:cs="Calibri"/>
          <w:b/>
          <w:color w:val="2F5496"/>
          <w:sz w:val="26"/>
          <w:szCs w:val="26"/>
        </w:rPr>
        <w:t>Probenahme und Analytik</w:t>
      </w:r>
    </w:p>
    <w:p w:rsidR="0047123B" w:rsidRDefault="0047123B" w:rsidP="0047123B">
      <w:pPr>
        <w:spacing w:line="240" w:lineRule="auto"/>
        <w:rPr>
          <w:sz w:val="24"/>
          <w:szCs w:val="24"/>
        </w:rPr>
      </w:pPr>
    </w:p>
    <w:p w:rsidR="0047123B" w:rsidRDefault="0047123B" w:rsidP="0047123B">
      <w:pPr>
        <w:shd w:val="clear" w:color="auto" w:fill="FFFFFF"/>
        <w:spacing w:line="240" w:lineRule="auto"/>
        <w:rPr>
          <w:sz w:val="24"/>
          <w:szCs w:val="24"/>
        </w:rPr>
      </w:pPr>
      <w:r>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rsidR="0047123B" w:rsidRDefault="0047123B" w:rsidP="0047123B">
      <w:pPr>
        <w:shd w:val="clear" w:color="auto" w:fill="FFFFFF"/>
        <w:spacing w:line="240" w:lineRule="auto"/>
        <w:rPr>
          <w:sz w:val="24"/>
          <w:szCs w:val="24"/>
        </w:rPr>
      </w:pPr>
      <w:r>
        <w:rPr>
          <w:sz w:val="24"/>
          <w:szCs w:val="24"/>
        </w:rPr>
        <w:br/>
      </w:r>
    </w:p>
    <w:p w:rsidR="0047123B" w:rsidRDefault="0047123B" w:rsidP="0047123B">
      <w:pPr>
        <w:pStyle w:val="Heading2"/>
        <w:numPr>
          <w:ilvl w:val="1"/>
          <w:numId w:val="5"/>
        </w:numPr>
        <w:spacing w:before="40" w:after="0" w:line="240" w:lineRule="auto"/>
        <w:rPr>
          <w:rFonts w:ascii="Calibri" w:eastAsia="Calibri" w:hAnsi="Calibri" w:cs="Calibri"/>
          <w:b/>
          <w:color w:val="2F5496"/>
          <w:sz w:val="26"/>
          <w:szCs w:val="26"/>
        </w:rPr>
      </w:pPr>
      <w:bookmarkStart w:id="24" w:name="_1t3h5sf" w:colFirst="0" w:colLast="0"/>
      <w:bookmarkEnd w:id="24"/>
      <w:r>
        <w:rPr>
          <w:rFonts w:ascii="Calibri" w:eastAsia="Calibri" w:hAnsi="Calibri" w:cs="Calibri"/>
          <w:b/>
          <w:color w:val="2F5496"/>
          <w:sz w:val="26"/>
          <w:szCs w:val="26"/>
        </w:rPr>
        <w:t>Abgrenzung der Untersuchung</w:t>
      </w:r>
    </w:p>
    <w:p w:rsidR="0047123B" w:rsidRDefault="0047123B" w:rsidP="0047123B">
      <w:pPr>
        <w:spacing w:line="240" w:lineRule="auto"/>
        <w:ind w:right="-122"/>
        <w:rPr>
          <w:sz w:val="24"/>
          <w:szCs w:val="24"/>
        </w:rPr>
      </w:pPr>
    </w:p>
    <w:p w:rsidR="0047123B" w:rsidRDefault="0047123B" w:rsidP="0047123B">
      <w:pPr>
        <w:widowControl w:val="0"/>
        <w:ind w:right="-122"/>
        <w:rPr>
          <w:sz w:val="24"/>
          <w:szCs w:val="24"/>
        </w:rPr>
      </w:pPr>
      <w:r>
        <w:rPr>
          <w:sz w:val="24"/>
          <w:szCs w:val="24"/>
        </w:rPr>
        <w:t>Die Bauschadstoffuntersuchung wurde aufgrund einer visuellen Begutachtung der Oberflächen durchgeführt und beschränkt sich auf die immobilen Bauteile.</w:t>
      </w:r>
    </w:p>
    <w:p w:rsidR="0047123B" w:rsidRDefault="0047123B" w:rsidP="0047123B">
      <w:pPr>
        <w:widowControl w:val="0"/>
        <w:spacing w:before="7" w:line="240" w:lineRule="auto"/>
        <w:ind w:right="-122"/>
        <w:rPr>
          <w:sz w:val="24"/>
          <w:szCs w:val="24"/>
        </w:rPr>
      </w:pPr>
    </w:p>
    <w:p w:rsidR="0047123B" w:rsidRDefault="0047123B" w:rsidP="0047123B">
      <w:pPr>
        <w:widowControl w:val="0"/>
        <w:ind w:right="-122"/>
        <w:rPr>
          <w:sz w:val="24"/>
          <w:szCs w:val="24"/>
        </w:rPr>
      </w:pPr>
      <w:r>
        <w:rPr>
          <w:sz w:val="24"/>
          <w:szCs w:val="24"/>
        </w:rPr>
        <w:t>Die Untersuchung bezieht sich auf die Bauschadstoffe Asbest, PCB und PAK . Weitere allfällig vorhandene Schadstoffe wie Radon, Schimmelpilze, Formaldehyd, etc. waren nicht Gegenstand der Untersuchung.</w:t>
      </w:r>
    </w:p>
    <w:p w:rsidR="0047123B" w:rsidRDefault="0047123B" w:rsidP="0047123B">
      <w:pPr>
        <w:widowControl w:val="0"/>
        <w:spacing w:before="7" w:line="240" w:lineRule="auto"/>
        <w:ind w:right="-122"/>
        <w:rPr>
          <w:sz w:val="24"/>
          <w:szCs w:val="24"/>
        </w:rPr>
      </w:pPr>
    </w:p>
    <w:p w:rsidR="0047123B" w:rsidRDefault="0047123B" w:rsidP="0047123B">
      <w:pPr>
        <w:widowControl w:val="0"/>
        <w:spacing w:line="240" w:lineRule="auto"/>
        <w:ind w:right="-122"/>
        <w:rPr>
          <w:sz w:val="24"/>
          <w:szCs w:val="24"/>
        </w:rPr>
      </w:pPr>
      <w:r>
        <w:rPr>
          <w:sz w:val="24"/>
          <w:szCs w:val="24"/>
        </w:rPr>
        <w:t>Die Wahrscheinlichkeit, dass mit der gewählten Untersuchungsmethode grössere</w:t>
      </w:r>
    </w:p>
    <w:p w:rsidR="0047123B" w:rsidRDefault="0047123B" w:rsidP="0047123B">
      <w:pPr>
        <w:widowControl w:val="0"/>
        <w:spacing w:before="41"/>
        <w:ind w:right="-122"/>
        <w:rPr>
          <w:sz w:val="24"/>
          <w:szCs w:val="24"/>
        </w:rPr>
      </w:pPr>
      <w:r>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rsidR="0047123B" w:rsidRDefault="0047123B" w:rsidP="0047123B">
      <w:pPr>
        <w:spacing w:line="240" w:lineRule="auto"/>
        <w:rPr>
          <w:sz w:val="24"/>
          <w:szCs w:val="24"/>
        </w:rPr>
      </w:pPr>
    </w:p>
    <w:p w:rsidR="0047123B" w:rsidRDefault="0047123B" w:rsidP="0047123B">
      <w:pPr>
        <w:spacing w:line="240" w:lineRule="auto"/>
        <w:rPr>
          <w:sz w:val="24"/>
          <w:szCs w:val="24"/>
        </w:rPr>
      </w:pPr>
    </w:p>
    <w:p w:rsidR="0047123B" w:rsidRDefault="0047123B" w:rsidP="0047123B">
      <w:pPr>
        <w:spacing w:line="240" w:lineRule="auto"/>
        <w:rPr>
          <w:sz w:val="24"/>
          <w:szCs w:val="24"/>
        </w:rPr>
      </w:pPr>
    </w:p>
    <w:p w:rsidR="0047123B" w:rsidRDefault="0047123B" w:rsidP="0047123B">
      <w:pPr>
        <w:spacing w:line="240" w:lineRule="auto"/>
        <w:rPr>
          <w:sz w:val="24"/>
          <w:szCs w:val="24"/>
        </w:rPr>
      </w:pPr>
    </w:p>
    <w:p w:rsidR="0047123B" w:rsidRDefault="0047123B" w:rsidP="0047123B">
      <w:pPr>
        <w:spacing w:line="240" w:lineRule="auto"/>
        <w:rPr>
          <w:sz w:val="24"/>
          <w:szCs w:val="24"/>
        </w:rPr>
      </w:pPr>
    </w:p>
    <w:p w:rsidR="0047123B" w:rsidRDefault="0047123B" w:rsidP="0047123B">
      <w:pPr>
        <w:pStyle w:val="Heading1"/>
        <w:numPr>
          <w:ilvl w:val="0"/>
          <w:numId w:val="5"/>
        </w:numPr>
        <w:spacing w:before="240" w:after="0" w:line="240" w:lineRule="auto"/>
        <w:rPr>
          <w:rFonts w:ascii="Calibri" w:eastAsia="Calibri" w:hAnsi="Calibri" w:cs="Calibri"/>
          <w:b/>
          <w:color w:val="2F5496"/>
          <w:sz w:val="32"/>
          <w:szCs w:val="32"/>
        </w:rPr>
      </w:pPr>
      <w:bookmarkStart w:id="25" w:name="_bg4jzxuw7fx" w:colFirst="0" w:colLast="0"/>
      <w:bookmarkEnd w:id="25"/>
      <w:r>
        <w:rPr>
          <w:rFonts w:ascii="Calibri" w:eastAsia="Calibri" w:hAnsi="Calibri" w:cs="Calibri"/>
          <w:b/>
          <w:color w:val="2F5496"/>
          <w:sz w:val="32"/>
          <w:szCs w:val="32"/>
        </w:rPr>
        <w:lastRenderedPageBreak/>
        <w:t>Dringlichkeit von Massnahmen</w:t>
      </w:r>
    </w:p>
    <w:p w:rsidR="0047123B" w:rsidRDefault="0047123B" w:rsidP="0047123B">
      <w:pPr>
        <w:shd w:val="clear" w:color="auto" w:fill="FFFFFF"/>
        <w:spacing w:line="240" w:lineRule="auto"/>
        <w:rPr>
          <w:sz w:val="24"/>
          <w:szCs w:val="24"/>
        </w:rPr>
      </w:pPr>
    </w:p>
    <w:p w:rsidR="0047123B" w:rsidRDefault="0047123B" w:rsidP="0047123B">
      <w:pPr>
        <w:shd w:val="clear" w:color="auto" w:fill="FFFFFF"/>
        <w:spacing w:line="240" w:lineRule="auto"/>
        <w:rPr>
          <w:sz w:val="24"/>
          <w:szCs w:val="24"/>
        </w:rPr>
      </w:pPr>
      <w:r>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rsidR="0047123B" w:rsidRDefault="0047123B" w:rsidP="0047123B">
      <w:pPr>
        <w:shd w:val="clear" w:color="auto" w:fill="FFFFFF"/>
        <w:spacing w:line="240" w:lineRule="auto"/>
        <w:rPr>
          <w:sz w:val="24"/>
          <w:szCs w:val="24"/>
        </w:rPr>
      </w:pPr>
    </w:p>
    <w:p w:rsidR="0047123B" w:rsidRDefault="0047123B" w:rsidP="0047123B">
      <w:pPr>
        <w:numPr>
          <w:ilvl w:val="0"/>
          <w:numId w:val="6"/>
        </w:numPr>
        <w:shd w:val="clear" w:color="auto" w:fill="FFFFFF"/>
        <w:spacing w:line="240" w:lineRule="auto"/>
        <w:rPr>
          <w:b/>
          <w:sz w:val="24"/>
          <w:szCs w:val="24"/>
        </w:rPr>
      </w:pPr>
      <w:r>
        <w:rPr>
          <w:b/>
          <w:sz w:val="24"/>
          <w:szCs w:val="24"/>
        </w:rPr>
        <w:t xml:space="preserve">Schritt Asbestfreisetzungspotential </w:t>
      </w:r>
    </w:p>
    <w:p w:rsidR="0047123B" w:rsidRDefault="0047123B" w:rsidP="0047123B">
      <w:pPr>
        <w:shd w:val="clear" w:color="auto" w:fill="FFFFFF"/>
        <w:spacing w:line="240" w:lineRule="auto"/>
        <w:rPr>
          <w:sz w:val="24"/>
          <w:szCs w:val="24"/>
        </w:rPr>
      </w:pPr>
      <w:r>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rsidR="0047123B" w:rsidRDefault="0047123B" w:rsidP="0047123B">
      <w:pPr>
        <w:shd w:val="clear" w:color="auto" w:fill="FFFFFF"/>
        <w:spacing w:line="240" w:lineRule="auto"/>
        <w:rPr>
          <w:sz w:val="24"/>
          <w:szCs w:val="24"/>
        </w:rPr>
      </w:pPr>
    </w:p>
    <w:p w:rsidR="0047123B" w:rsidRDefault="0047123B" w:rsidP="0047123B">
      <w:pPr>
        <w:numPr>
          <w:ilvl w:val="0"/>
          <w:numId w:val="6"/>
        </w:numPr>
        <w:shd w:val="clear" w:color="auto" w:fill="FFFFFF"/>
        <w:spacing w:line="240" w:lineRule="auto"/>
        <w:rPr>
          <w:b/>
          <w:sz w:val="24"/>
          <w:szCs w:val="24"/>
        </w:rPr>
      </w:pPr>
      <w:r>
        <w:rPr>
          <w:b/>
          <w:sz w:val="24"/>
          <w:szCs w:val="24"/>
        </w:rPr>
        <w:t xml:space="preserve">Schritt Raumnutzung und Exposition </w:t>
      </w:r>
    </w:p>
    <w:p w:rsidR="0047123B" w:rsidRDefault="0047123B" w:rsidP="0047123B">
      <w:pPr>
        <w:shd w:val="clear" w:color="auto" w:fill="FFFFFF"/>
        <w:spacing w:line="240" w:lineRule="auto"/>
        <w:rPr>
          <w:sz w:val="24"/>
          <w:szCs w:val="24"/>
        </w:rPr>
      </w:pPr>
      <w:r>
        <w:rPr>
          <w:sz w:val="24"/>
          <w:szCs w:val="24"/>
        </w:rPr>
        <w:t>In einem zweiten Schritt wird mit der Art der Raumnutzung das Expositionsrisiko beurteilt. Berücksichtigt werden dabei die Nutzer, die Art und die Häufigkeit der Nutzung sowie die Lage der asbesthaltigen Materialien (Zugänglichkeit).</w:t>
      </w:r>
    </w:p>
    <w:p w:rsidR="0047123B" w:rsidRDefault="0047123B" w:rsidP="0047123B">
      <w:pPr>
        <w:shd w:val="clear" w:color="auto" w:fill="FFFFFF"/>
        <w:spacing w:line="240" w:lineRule="auto"/>
        <w:rPr>
          <w:sz w:val="24"/>
          <w:szCs w:val="24"/>
        </w:rPr>
      </w:pPr>
    </w:p>
    <w:p w:rsidR="0047123B" w:rsidRDefault="0047123B" w:rsidP="0047123B">
      <w:pPr>
        <w:numPr>
          <w:ilvl w:val="0"/>
          <w:numId w:val="6"/>
        </w:numPr>
        <w:shd w:val="clear" w:color="auto" w:fill="FFFFFF"/>
        <w:spacing w:line="240" w:lineRule="auto"/>
        <w:rPr>
          <w:b/>
          <w:sz w:val="24"/>
          <w:szCs w:val="24"/>
        </w:rPr>
      </w:pPr>
      <w:r>
        <w:rPr>
          <w:b/>
          <w:sz w:val="24"/>
          <w:szCs w:val="24"/>
        </w:rPr>
        <w:t xml:space="preserve">Schritt Beurteilung der Massnahmendringlichkeit </w:t>
      </w:r>
    </w:p>
    <w:p w:rsidR="0047123B" w:rsidRDefault="0047123B" w:rsidP="0047123B">
      <w:pPr>
        <w:shd w:val="clear" w:color="auto" w:fill="FFFFFF"/>
        <w:spacing w:line="240" w:lineRule="auto"/>
        <w:rPr>
          <w:sz w:val="24"/>
          <w:szCs w:val="24"/>
        </w:rPr>
      </w:pPr>
      <w:r>
        <w:rPr>
          <w:sz w:val="24"/>
          <w:szCs w:val="24"/>
        </w:rPr>
        <w:t xml:space="preserve">Mithilfe der Bewertungen zum Asbestfreisetzungspotential und zur Raumnutzung wird die Dringlichkeit von Massnahmen in drei Dringlichkeitsstufen beurteilt. </w:t>
      </w:r>
    </w:p>
    <w:p w:rsidR="0047123B" w:rsidRDefault="0047123B" w:rsidP="0047123B">
      <w:pPr>
        <w:shd w:val="clear" w:color="auto" w:fill="FFFFFF"/>
        <w:spacing w:line="240" w:lineRule="auto"/>
        <w:rPr>
          <w:b/>
          <w:sz w:val="24"/>
          <w:szCs w:val="24"/>
        </w:rPr>
      </w:pPr>
    </w:p>
    <w:p w:rsidR="0047123B" w:rsidRDefault="0047123B" w:rsidP="0047123B">
      <w:pPr>
        <w:shd w:val="clear" w:color="auto" w:fill="FFFFFF"/>
        <w:spacing w:line="240" w:lineRule="auto"/>
        <w:rPr>
          <w:sz w:val="24"/>
          <w:szCs w:val="24"/>
        </w:rPr>
      </w:pPr>
      <w:r>
        <w:rPr>
          <w:b/>
          <w:sz w:val="24"/>
          <w:szCs w:val="24"/>
        </w:rPr>
        <w:t xml:space="preserve">Dringlichkeitsstufe I: </w:t>
      </w:r>
      <w:r>
        <w:rPr>
          <w:sz w:val="24"/>
          <w:szCs w:val="24"/>
        </w:rPr>
        <w:t xml:space="preserve">Umgehende Veranlassung von Sanierungsarbeiten oder von Sofortmassnahmen. </w:t>
      </w:r>
    </w:p>
    <w:p w:rsidR="0047123B" w:rsidRDefault="0047123B" w:rsidP="0047123B">
      <w:pPr>
        <w:shd w:val="clear" w:color="auto" w:fill="FFFFFF"/>
        <w:spacing w:line="240" w:lineRule="auto"/>
        <w:rPr>
          <w:b/>
          <w:sz w:val="24"/>
          <w:szCs w:val="24"/>
        </w:rPr>
      </w:pPr>
    </w:p>
    <w:p w:rsidR="0047123B" w:rsidRDefault="0047123B" w:rsidP="0047123B">
      <w:pPr>
        <w:shd w:val="clear" w:color="auto" w:fill="FFFFFF"/>
        <w:spacing w:line="240" w:lineRule="auto"/>
        <w:rPr>
          <w:sz w:val="24"/>
          <w:szCs w:val="24"/>
        </w:rPr>
      </w:pPr>
      <w:r>
        <w:rPr>
          <w:b/>
          <w:sz w:val="24"/>
          <w:szCs w:val="24"/>
        </w:rPr>
        <w:t xml:space="preserve">Dringlichkeitsstufe II: </w:t>
      </w:r>
      <w:r>
        <w:rPr>
          <w:sz w:val="24"/>
          <w:szCs w:val="24"/>
        </w:rPr>
        <w:t xml:space="preserve">Neubeurteilung periodisch (alle 2 bis 5 Jahre) oder Sanierung vor baulichen Eingriffen und Nutzungsänderungen. </w:t>
      </w:r>
    </w:p>
    <w:p w:rsidR="0047123B" w:rsidRDefault="0047123B" w:rsidP="0047123B">
      <w:pPr>
        <w:shd w:val="clear" w:color="auto" w:fill="FFFFFF"/>
        <w:spacing w:line="240" w:lineRule="auto"/>
        <w:rPr>
          <w:b/>
          <w:sz w:val="24"/>
          <w:szCs w:val="24"/>
        </w:rPr>
      </w:pPr>
    </w:p>
    <w:p w:rsidR="0047123B" w:rsidRDefault="0047123B" w:rsidP="0047123B">
      <w:pPr>
        <w:shd w:val="clear" w:color="auto" w:fill="FFFFFF"/>
        <w:spacing w:line="240" w:lineRule="auto"/>
        <w:rPr>
          <w:sz w:val="24"/>
          <w:szCs w:val="24"/>
        </w:rPr>
      </w:pPr>
      <w:r>
        <w:rPr>
          <w:b/>
          <w:sz w:val="24"/>
          <w:szCs w:val="24"/>
        </w:rPr>
        <w:t xml:space="preserve">Dringlichkeitsstufe III: </w:t>
      </w:r>
      <w:r>
        <w:rPr>
          <w:sz w:val="24"/>
          <w:szCs w:val="24"/>
        </w:rPr>
        <w:t>Sanierung vor baulichen Eingriffen und Nutzungsänderungen oder beim Rückbau.</w:t>
      </w:r>
      <w:r>
        <w:rPr>
          <w:sz w:val="24"/>
          <w:szCs w:val="24"/>
        </w:rPr>
        <w:br/>
      </w:r>
    </w:p>
    <w:p w:rsidR="0047123B" w:rsidRDefault="0047123B" w:rsidP="0047123B">
      <w:pPr>
        <w:pStyle w:val="Heading1"/>
        <w:numPr>
          <w:ilvl w:val="0"/>
          <w:numId w:val="5"/>
        </w:numPr>
        <w:spacing w:before="240" w:after="0" w:line="240" w:lineRule="auto"/>
        <w:rPr>
          <w:rFonts w:ascii="Calibri" w:eastAsia="Calibri" w:hAnsi="Calibri" w:cs="Calibri"/>
          <w:b/>
          <w:color w:val="2F5496"/>
          <w:sz w:val="32"/>
          <w:szCs w:val="32"/>
        </w:rPr>
      </w:pPr>
      <w:bookmarkStart w:id="26" w:name="_e3xy3cve4spy" w:colFirst="0" w:colLast="0"/>
      <w:bookmarkEnd w:id="26"/>
      <w:r>
        <w:rPr>
          <w:rFonts w:ascii="Calibri" w:eastAsia="Calibri" w:hAnsi="Calibri" w:cs="Calibri"/>
          <w:b/>
          <w:color w:val="2F5496"/>
          <w:sz w:val="32"/>
          <w:szCs w:val="32"/>
        </w:rPr>
        <w:t>Zusammenfassung der Schadstoffvorkommen</w:t>
      </w:r>
      <w:r>
        <w:rPr>
          <w:rFonts w:ascii="Calibri" w:eastAsia="Calibri" w:hAnsi="Calibri" w:cs="Calibri"/>
          <w:sz w:val="24"/>
          <w:szCs w:val="24"/>
        </w:rPr>
        <w:br/>
        <w:t xml:space="preserve">Die folgenden Abkürzungen werden in der nachfolgendenden Tabelle(n) verwendet. </w:t>
      </w:r>
    </w:p>
    <w:p w:rsidR="0047123B" w:rsidRDefault="0047123B" w:rsidP="0047123B">
      <w:pPr>
        <w:spacing w:line="240" w:lineRule="auto"/>
        <w:rPr>
          <w:rFonts w:ascii="Calibri" w:eastAsia="Calibri" w:hAnsi="Calibri" w:cs="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Map</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Materialprobe</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VB</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Visueller Befund</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DKS</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Dringlichkeitsstufe (Asbest)</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Neg.</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Laboranalyse war negativ (kein Schadstoff)</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AFG</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Asbest fest gebunden</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ASG</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Asbest schwach gebunden</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PAK</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Polyzyklische Aromatische Kohlenwasserstoffe</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PCB</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Polychlorierte Biphenyle</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FCKW</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Fluorchlorkohlenwasserstoffe</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SM</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Schwermetall</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HSM</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Holzschutzmittel</w:t>
            </w:r>
          </w:p>
        </w:tc>
      </w:tr>
      <w:tr w:rsidR="0047123B" w:rsidTr="004A1ED8">
        <w:tc>
          <w:tcPr>
            <w:tcW w:w="2269" w:type="dxa"/>
            <w:shd w:val="clear" w:color="auto" w:fill="FFFF00"/>
          </w:tcPr>
          <w:p w:rsidR="0047123B" w:rsidRDefault="0047123B" w:rsidP="004A1ED8">
            <w:pPr>
              <w:spacing w:line="240" w:lineRule="auto"/>
              <w:jc w:val="right"/>
              <w:rPr>
                <w:rFonts w:ascii="Calibri" w:eastAsia="Calibri" w:hAnsi="Calibri" w:cs="Calibri"/>
                <w:sz w:val="24"/>
                <w:szCs w:val="24"/>
              </w:rPr>
            </w:pP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Instruierter Handwerker</w:t>
            </w:r>
          </w:p>
        </w:tc>
      </w:tr>
      <w:tr w:rsidR="0047123B" w:rsidTr="004A1ED8">
        <w:trPr>
          <w:trHeight w:val="119"/>
        </w:trPr>
        <w:tc>
          <w:tcPr>
            <w:tcW w:w="2269" w:type="dxa"/>
            <w:shd w:val="clear" w:color="auto" w:fill="FF0000"/>
          </w:tcPr>
          <w:p w:rsidR="0047123B" w:rsidRDefault="0047123B" w:rsidP="004A1ED8">
            <w:pPr>
              <w:spacing w:line="240" w:lineRule="auto"/>
              <w:rPr>
                <w:rFonts w:ascii="Calibri" w:eastAsia="Calibri" w:hAnsi="Calibri" w:cs="Calibri"/>
                <w:sz w:val="24"/>
                <w:szCs w:val="24"/>
              </w:rPr>
            </w:pP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Suva anerkannte Schadstoffsanierer</w:t>
            </w:r>
          </w:p>
        </w:tc>
      </w:tr>
    </w:tbl>
    <w:p w:rsidR="0047123B" w:rsidRDefault="0047123B" w:rsidP="0047123B">
      <w:pPr>
        <w:pStyle w:val="Heading1"/>
        <w:numPr>
          <w:ilvl w:val="0"/>
          <w:numId w:val="5"/>
        </w:numPr>
        <w:spacing w:before="240" w:after="0" w:line="240" w:lineRule="auto"/>
        <w:rPr>
          <w:rFonts w:ascii="Calibri" w:eastAsia="Calibri" w:hAnsi="Calibri" w:cs="Calibri"/>
          <w:color w:val="2F5496"/>
          <w:sz w:val="32"/>
          <w:szCs w:val="32"/>
        </w:rPr>
      </w:pPr>
      <w:bookmarkStart w:id="27" w:name="_2s8eyo1" w:colFirst="0" w:colLast="0"/>
      <w:bookmarkEnd w:id="27"/>
      <w:r>
        <w:rPr>
          <w:rFonts w:ascii="Calibri" w:eastAsia="Calibri" w:hAnsi="Calibri" w:cs="Calibri"/>
          <w:color w:val="2F5496"/>
          <w:sz w:val="32"/>
          <w:szCs w:val="32"/>
        </w:rPr>
        <w:lastRenderedPageBreak/>
        <w:t>Übersicht der Bauschadstoffvorkommen mit Sanierungsangaben</w:t>
      </w:r>
    </w:p>
    <w:p w:rsidR="0047123B" w:rsidRDefault="0047123B" w:rsidP="0047123B">
      <w:pPr>
        <w:pStyle w:val="Heading1"/>
        <w:spacing w:before="240" w:after="0" w:line="240" w:lineRule="auto"/>
        <w:ind w:left="432"/>
        <w:rPr>
          <w:rFonts w:ascii="Calibri" w:eastAsia="Calibri" w:hAnsi="Calibri" w:cs="Calibri"/>
          <w:sz w:val="24"/>
          <w:szCs w:val="24"/>
        </w:rPr>
      </w:pPr>
      <w:bookmarkStart w:id="28" w:name="_3rdcrjn" w:colFirst="0" w:colLast="0"/>
      <w:bookmarkEnd w:id="28"/>
      <w:r>
        <w:rPr>
          <w:rFonts w:ascii="Calibri" w:eastAsia="Calibri" w:hAnsi="Calibri" w:cs="Calibri"/>
          <w:sz w:val="24"/>
          <w:szCs w:val="24"/>
        </w:rPr>
        <w:t>Die nachfolgende Tabelle zeigt alle identifizierten Schadstoffvorkommen:</w:t>
      </w:r>
      <w:r>
        <w:rPr>
          <w:rFonts w:ascii="Calibri" w:eastAsia="Calibri" w:hAnsi="Calibri" w:cs="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red"/>
            <w:noWrap/>
          </w:tcPr>
          <w:p>
            <w:pPr/>
            <w:r>
              <w:rPr/>
              <w:t xml:space="preserve">MaP-2</w:t>
            </w:r>
          </w:p>
        </w:tc>
        <w:tc>
          <w:tcPr>
            <w:noWrap/>
          </w:tcPr>
          <w:p>
            <w:pPr/>
            <w:r>
              <w:rPr/>
              <w:t xml:space="preserve">Bad
</w:t>
            </w:r>
          </w:p>
          <w:p>
            <w:pPr/>
            <w:r>
              <w:rPr/>
              <w:t xml:space="preserve">EG
</w:t>
            </w:r>
          </w:p>
          <w:p>
            <w:pPr/>
            <w:r>
              <w:rPr/>
              <w:t xml:space="preserve">Wand
</w:t>
            </w:r>
          </w:p>
        </w:tc>
        <w:tc>
          <w:tcPr>
            <w:noWrap/>
          </w:tcPr>
          <w:p>
            <w:pPr/>
            <w:r>
              <w:rPr/>
              <w:t xml:space="preserve">Wand</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MaP-6</w:t>
            </w:r>
          </w:p>
        </w:tc>
        <w:tc>
          <w:tcPr>
            <w:noWrap/>
          </w:tcPr>
          <w:p>
            <w:pPr/>
            <w:r>
              <w:rPr/>
              <w:t xml:space="preserve">Gang
</w:t>
            </w:r>
          </w:p>
          <w:p>
            <w:pPr/>
            <w:r>
              <w:rPr/>
              <w:t xml:space="preserve">EG
</w:t>
            </w:r>
          </w:p>
          <w:p>
            <w:pPr/>
            <w:r>
              <w:rPr/>
              <w:t xml:space="preserve">Wand
</w:t>
            </w:r>
          </w:p>
        </w:tc>
        <w:tc>
          <w:tcPr>
            <w:noWrap/>
          </w:tcPr>
          <w:p>
            <w:pPr/>
            <w:r>
              <w:rPr/>
              <w:t xml:space="preserve">Wand</w:t>
            </w:r>
          </w:p>
        </w:tc>
        <w:tc>
          <w:tcPr>
            <w:noWrap/>
          </w:tcPr>
          <w:p>
            <w:pPr/>
            <w:r>
              <w:rPr/>
              <w:t xml:space="preserve">Putz</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MaP-8</w:t>
            </w:r>
          </w:p>
        </w:tc>
        <w:tc>
          <w:tcPr>
            <w:noWrap/>
          </w:tcPr>
          <w:p>
            <w:pPr/>
            <w:r>
              <w:rPr/>
              <w:t xml:space="preserve">Küche
</w:t>
            </w:r>
          </w:p>
          <w:p>
            <w:pPr/>
            <w:r>
              <w:rPr/>
              <w:t xml:space="preserve">EG
</w:t>
            </w:r>
          </w:p>
          <w:p>
            <w:pPr/>
            <w:r>
              <w:rPr/>
              <w:t xml:space="preserve">Wand
</w:t>
            </w:r>
          </w:p>
        </w:tc>
        <w:tc>
          <w:tcPr>
            <w:noWrap/>
          </w:tcPr>
          <w:p>
            <w:pPr/>
            <w:r>
              <w:rPr/>
              <w:t xml:space="preserve">Wand</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bl>
    <w:p w:rsidR="00DD43B4" w:rsidRDefault="00DD43B4">
      <w:pPr>
        <w:rPr>
          <w:rFonts w:ascii="Calibri" w:eastAsia="Calibri" w:hAnsi="Calibri" w:cs="Calibri"/>
          <w:sz w:val="24"/>
          <w:szCs w:val="24"/>
        </w:rPr>
      </w:pPr>
      <w:r>
        <w:rPr>
          <w:rFonts w:ascii="Calibri" w:eastAsia="Calibri" w:hAnsi="Calibri" w:cs="Calibri"/>
          <w:sz w:val="24"/>
          <w:szCs w:val="24"/>
        </w:rPr>
        <w:br w:type="page"/>
      </w:r>
    </w:p>
    <w:p w:rsidR="0047123B" w:rsidRDefault="0047123B" w:rsidP="0047123B">
      <w:pPr>
        <w:pStyle w:val="Heading1"/>
        <w:numPr>
          <w:ilvl w:val="0"/>
          <w:numId w:val="5"/>
        </w:numPr>
        <w:spacing w:before="240" w:after="0" w:line="240" w:lineRule="auto"/>
        <w:rPr>
          <w:rFonts w:ascii="Calibri" w:eastAsia="Calibri" w:hAnsi="Calibri" w:cs="Calibri"/>
          <w:color w:val="2F5496"/>
          <w:sz w:val="32"/>
          <w:szCs w:val="32"/>
        </w:rPr>
      </w:pPr>
      <w:r>
        <w:rPr>
          <w:rFonts w:ascii="Calibri" w:eastAsia="Calibri" w:hAnsi="Calibri" w:cs="Calibri"/>
          <w:color w:val="2F5496"/>
          <w:sz w:val="32"/>
          <w:szCs w:val="32"/>
        </w:rPr>
        <w:lastRenderedPageBreak/>
        <w:t xml:space="preserve">Sanierung der Schadstoffe </w:t>
      </w:r>
    </w:p>
    <w:p w:rsidR="0047123B" w:rsidRDefault="0047123B" w:rsidP="0047123B">
      <w:pPr>
        <w:pStyle w:val="Heading2"/>
        <w:numPr>
          <w:ilvl w:val="1"/>
          <w:numId w:val="5"/>
        </w:numPr>
        <w:spacing w:before="40" w:after="0" w:line="240" w:lineRule="auto"/>
        <w:rPr>
          <w:rFonts w:ascii="Calibri" w:eastAsia="Calibri" w:hAnsi="Calibri" w:cs="Calibri"/>
          <w:b/>
          <w:color w:val="2F5496"/>
          <w:sz w:val="26"/>
          <w:szCs w:val="26"/>
        </w:rPr>
      </w:pPr>
      <w:r>
        <w:rPr>
          <w:rFonts w:ascii="Calibri" w:eastAsia="Calibri" w:hAnsi="Calibri" w:cs="Calibri"/>
          <w:b/>
          <w:color w:val="2F5496"/>
          <w:sz w:val="26"/>
          <w:szCs w:val="26"/>
        </w:rPr>
        <w:t>Sanierung durch Schadstoffsanierer</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MaP-2</w:t>
            </w:r>
          </w:p>
        </w:tc>
        <w:tc>
          <w:tcPr>
            <w:noWrap/>
          </w:tcPr>
          <w:p>
            <w:pPr/>
            <w:r>
              <w:rPr/>
              <w:t xml:space="preserve">Plattenkleber</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MaP-6</w:t>
            </w:r>
          </w:p>
        </w:tc>
        <w:tc>
          <w:tcPr>
            <w:noWrap/>
          </w:tcPr>
          <w:p>
            <w:pPr/>
            <w:r>
              <w:rPr/>
              <w:t xml:space="preserve">Putz</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MaP-8</w:t>
            </w:r>
          </w:p>
        </w:tc>
        <w:tc>
          <w:tcPr>
            <w:noWrap/>
          </w:tcPr>
          <w:p>
            <w:pPr/>
            <w:r>
              <w:rPr/>
              <w:t xml:space="preserve">Plattenkleber</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bl>
    <w:p w:rsidR="0047123B" w:rsidRDefault="0047123B" w:rsidP="0047123B">
      <w:pPr>
        <w:spacing w:line="240" w:lineRule="auto"/>
        <w:rPr>
          <w:sz w:val="24"/>
          <w:szCs w:val="24"/>
        </w:rPr>
      </w:pPr>
    </w:p>
    <w:p w:rsidR="0047123B" w:rsidRDefault="0047123B" w:rsidP="0047123B">
      <w:pPr>
        <w:pStyle w:val="Heading2"/>
        <w:numPr>
          <w:ilvl w:val="1"/>
          <w:numId w:val="5"/>
        </w:numPr>
        <w:spacing w:before="40" w:after="0" w:line="240" w:lineRule="auto"/>
        <w:rPr>
          <w:rFonts w:ascii="Calibri" w:eastAsia="Calibri" w:hAnsi="Calibri" w:cs="Calibri"/>
          <w:b/>
          <w:color w:val="2F5496"/>
          <w:sz w:val="26"/>
          <w:szCs w:val="26"/>
        </w:rPr>
      </w:pPr>
      <w:bookmarkStart w:id="31" w:name="_26in1rg" w:colFirst="0" w:colLast="0"/>
      <w:bookmarkEnd w:id="31"/>
      <w:r>
        <w:rPr>
          <w:rFonts w:ascii="Calibri" w:eastAsia="Calibri" w:hAnsi="Calibri" w:cs="Calibri"/>
          <w:b/>
          <w:color w:val="2F5496"/>
          <w:sz w:val="26"/>
          <w:szCs w:val="26"/>
        </w:rPr>
        <w:t>Sanierung durch instruierte Handwerker</w:t>
      </w:r>
    </w:p>
    <w:p w:rsidR="0047123B" w:rsidRDefault="0047123B" w:rsidP="0047123B">
      <w:pPr>
        <w:spacing w:line="240" w:lineRule="auto"/>
        <w:rPr>
          <w:rFonts w:ascii="Calibri" w:eastAsia="Calibri" w:hAnsi="Calibri" w:cs="Calibri"/>
          <w:sz w:val="24"/>
          <w:szCs w:val="24"/>
        </w:rPr>
      </w:pPr>
      <w:r>
        <w:rPr>
          <w:rFonts w:ascii="Calibri" w:eastAsia="Calibri" w:hAnsi="Calibri" w:cs="Calibri"/>
          <w:sz w:val="24"/>
          <w:szCs w:val="24"/>
        </w:rPr>
        <w:t>Diese Tabelle Zeigt Schadstoffbefunde welche unter Einhaltung der angegebenen Richtlinien nur durch instruierte Handwerker rückgebaut werden können:</w:t>
      </w:r>
      <w:r>
        <w:rPr>
          <w:rFonts w:ascii="Calibri" w:eastAsia="Calibri" w:hAnsi="Calibri" w:cs="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rsidR="0047123B" w:rsidRDefault="00D36D8B" w:rsidP="00D36D8B">
      <w:pPr>
        <w:rPr>
          <w:rFonts w:ascii="Calibri" w:eastAsia="Calibri" w:hAnsi="Calibri" w:cs="Calibri"/>
          <w:sz w:val="24"/>
          <w:szCs w:val="24"/>
        </w:rPr>
      </w:pPr>
      <w:r>
        <w:rPr>
          <w:rFonts w:ascii="Calibri" w:eastAsia="Calibri" w:hAnsi="Calibri" w:cs="Calibri"/>
          <w:sz w:val="24"/>
          <w:szCs w:val="24"/>
        </w:rPr>
        <w:br w:type="page"/>
      </w:r>
    </w:p>
    <w:p w:rsidR="0047123B" w:rsidRDefault="0047123B" w:rsidP="0047123B">
      <w:pPr>
        <w:pStyle w:val="Heading1"/>
        <w:numPr>
          <w:ilvl w:val="0"/>
          <w:numId w:val="5"/>
        </w:numPr>
        <w:spacing w:before="240" w:after="0" w:line="240" w:lineRule="auto"/>
        <w:rPr>
          <w:rFonts w:ascii="Calibri" w:eastAsia="Calibri" w:hAnsi="Calibri" w:cs="Calibri"/>
          <w:color w:val="2F5496"/>
          <w:sz w:val="32"/>
          <w:szCs w:val="32"/>
        </w:rPr>
      </w:pPr>
      <w:bookmarkStart w:id="33" w:name="_z337ya" w:colFirst="0" w:colLast="0"/>
      <w:bookmarkEnd w:id="33"/>
      <w:r>
        <w:rPr>
          <w:rFonts w:ascii="Calibri" w:eastAsia="Calibri" w:hAnsi="Calibri" w:cs="Calibri"/>
          <w:color w:val="2F5496"/>
          <w:sz w:val="32"/>
          <w:szCs w:val="32"/>
        </w:rPr>
        <w:lastRenderedPageBreak/>
        <w:t>Entsorgung der Schadstoffe</w:t>
      </w:r>
    </w:p>
    <w:p w:rsidR="0047123B" w:rsidRDefault="0047123B" w:rsidP="0047123B">
      <w:pPr>
        <w:pStyle w:val="Heading2"/>
        <w:numPr>
          <w:ilvl w:val="1"/>
          <w:numId w:val="5"/>
        </w:numPr>
        <w:spacing w:before="40" w:after="0" w:line="240" w:lineRule="auto"/>
        <w:rPr>
          <w:rFonts w:ascii="Calibri" w:eastAsia="Calibri" w:hAnsi="Calibri" w:cs="Calibri"/>
          <w:b/>
          <w:color w:val="2F5496"/>
          <w:sz w:val="40"/>
          <w:szCs w:val="40"/>
        </w:rPr>
      </w:pPr>
      <w:r>
        <w:rPr>
          <w:rFonts w:ascii="Calibri" w:eastAsia="Calibri" w:hAnsi="Calibri" w:cs="Calibri"/>
          <w:b/>
          <w:color w:val="2F5496"/>
          <w:sz w:val="26"/>
          <w:szCs w:val="26"/>
        </w:rPr>
        <w:t>Entsorgungskonzept für die Schadstoffe</w:t>
      </w:r>
    </w:p>
    <w:p w:rsidR="0047123B" w:rsidRDefault="0047123B" w:rsidP="0047123B">
      <w:pPr>
        <w:spacing w:line="240" w:lineRule="auto"/>
        <w:rPr>
          <w:rFonts w:ascii="Calibri" w:eastAsia="Calibri" w:hAnsi="Calibri" w:cs="Calibri"/>
          <w:sz w:val="24"/>
          <w:szCs w:val="24"/>
        </w:rPr>
      </w:pPr>
      <w:r>
        <w:rPr>
          <w:rFonts w:ascii="Calibri" w:eastAsia="Calibri" w:hAnsi="Calibri" w:cs="Calibri"/>
          <w:sz w:val="24"/>
          <w:szCs w:val="24"/>
        </w:rPr>
        <w:t>Die folgende Tabelle gibt einen Überblick über die korrekte Entsorgung der Schadstoffe:</w:t>
      </w:r>
      <w:r>
        <w:rPr>
          <w:rFonts w:ascii="Calibri" w:eastAsia="Calibri" w:hAnsi="Calibri" w:cs="Calibri"/>
          <w:sz w:val="24"/>
          <w:szCs w:val="24"/>
        </w:rPr>
        <w:br/>
      </w:r>
    </w:p>
    <w:tbl>
      <w:tblGrid>
        <w:gridCol w:w="1120" w:type="dxa"/>
        <w:gridCol w:w="1400" w:type="dxa"/>
        <w:gridCol w:w="1120" w:type="dxa"/>
        <w:gridCol w:w="1400" w:type="dxa"/>
        <w:gridCol w:w="1120" w:type="dxa"/>
        <w:gridCol w:w="280" w:type="dxa"/>
        <w:gridCol w:w="70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c>
          <w:tcPr>
            <w:tcW w:w="700" w:type="dxa"/>
            <w:shd w:val="clear" w:fill="67ffcb"/>
            <w:noWrap/>
          </w:tcPr>
          <w:p>
            <w:pPr/>
            <w:r>
              <w:rPr/>
              <w:t xml:space="preserve">m3 lose</w:t>
            </w:r>
          </w:p>
        </w:tc>
      </w:tr>
      <w:tr>
        <w:trPr/>
        <w:tc>
          <w:tcPr>
            <w:shd w:val="clear" w:fill="red"/>
            <w:noWrap/>
          </w:tcPr>
          <w:p>
            <w:pPr/>
            <w:r>
              <w:rPr/>
              <w:t xml:space="preserve">MaP-2</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red"/>
            <w:noWrap/>
          </w:tcPr>
          <w:p>
            <w:pPr/>
            <w:r>
              <w:rPr/>
              <w:t xml:space="preserve">MaP-6</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red"/>
            <w:noWrap/>
          </w:tcPr>
          <w:p>
            <w:pPr/>
            <w:r>
              <w:rPr/>
              <w:t xml:space="preserve">MaP-8</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c>
          <w:tcPr>
            <w:noWrap/>
          </w:tcPr>
          <w:p>
            <w:pPr/>
            <w:r>
              <w:rPr/>
              <w:t xml:space="preserve"/>
            </w:r>
          </w:p>
        </w:tc>
      </w:tr>
    </w:tbl>
    <w:p w:rsidR="0047123B" w:rsidRDefault="0047123B" w:rsidP="0047123B">
      <w:bookmarkStart w:id="34" w:name="OLE_LINK29"/>
      <w:r>
        <w:br w:type="page"/>
      </w:r>
    </w:p>
    <w:p w:rsidR="0047123B" w:rsidRPr="001F7839" w:rsidRDefault="0047123B" w:rsidP="0047123B">
      <w:r>
        <w:rPr>
          <w:rFonts w:ascii="Calibri" w:eastAsia="Calibri" w:hAnsi="Calibri" w:cs="Calibri"/>
          <w:b/>
          <w:color w:val="2F5496"/>
          <w:sz w:val="32"/>
          <w:szCs w:val="32"/>
        </w:rPr>
        <w:lastRenderedPageBreak/>
        <w:t>Empfehlung</w:t>
      </w:r>
      <w:bookmarkEnd w:id="34"/>
    </w:p>
    <w:p w:rsidR="0047123B" w:rsidRDefault="0047123B" w:rsidP="0047123B">
      <w:pPr>
        <w:spacing w:line="240" w:lineRule="auto"/>
        <w:rPr>
          <w:sz w:val="24"/>
          <w:szCs w:val="24"/>
        </w:rPr>
      </w:pPr>
    </w:p>
    <w:p>
      <w:pPr/>
      <w:r>
        <w:rPr/>
        <w:t xml:space="preserve">Basierend auf den vorliegenden Daten und der durchgeführten Analyse der Schadstoffvorkommen, insbesondere Asbest, wird die folgende Vorgehensweise empfohlen:</w:t>
      </w:r>
      <w:br/>
      <w:r>
        <w:rPr/>
        <w:t xml:space="preserve"/>
      </w:r>
      <w:br/>
      <w:r>
        <w:rPr>
          <w:b w:val="1"/>
          <w:bCs w:val="1"/>
        </w:rPr>
        <w:t xml:space="preserve">1. </w:t>
      </w:r>
      <w:r>
        <w:rPr>
          <w:b w:val="1"/>
          <w:bCs w:val="1"/>
        </w:rPr>
        <w:t xml:space="preserve">Professionelle Sanierung durch Schadstoffsanierer:</w:t>
      </w:r>
      <w:r>
        <w:rPr/>
        <w:t xml:space="preserve"/>
      </w:r>
      <w:br/>
      <w:r>
        <w:rPr/>
        <w:t xml:space="preserve">   - Die ermittelten Asbestvorkommen in den Materialien Plattenkleber und Putz in den betreffenden Räumen (Badezimmer, Gang, Küche im Erdgeschoss) sind als kritisch zu bewerten. Es wird dringend empfohlen, diese Materialien in den identifizierten Bereichen (MaP-2, MaP-6, MaP-8) durch professionelle Schadstoffsanierer entfernen zu lassen, da Asbestfasern bei unsachgemäßer Handhabung Gesundheitsrisiken bergen. Die bereits durchgeführte Laboranalyse bestätigt die Asbestbelastung.</w:t>
      </w:r>
      <w:br/>
      <w:r>
        <w:rPr/>
        <w:t xml:space="preserve"/>
      </w:r>
      <w:br/>
      <w:r>
        <w:rPr>
          <w:b w:val="1"/>
          <w:bCs w:val="1"/>
        </w:rPr>
        <w:t xml:space="preserve">2. </w:t>
      </w:r>
      <w:r>
        <w:rPr>
          <w:b w:val="1"/>
          <w:bCs w:val="1"/>
        </w:rPr>
        <w:t xml:space="preserve">Einhaltung der Sicherheitsrichtlinien:</w:t>
      </w:r>
      <w:r>
        <w:rPr/>
        <w:t xml:space="preserve"/>
      </w:r>
      <w:br/>
      <w:r>
        <w:rPr/>
        <w:t xml:space="preserve">   - Die Sanierung sollte gemäß den Richtlinien EKAS 6503 Kapitel 7 erfolgen, um sicherzustellen, dass alle notwendigen Sicherheitsvorkehrungen getroffen werden. Die Einhaltung dieser Richtlinien ist entscheidend zur Minimierung der Expositionsgefahr für die Bewohner und das Sanierungspersonal.</w:t>
      </w:r>
      <w:br/>
      <w:r>
        <w:rPr/>
        <w:t xml:space="preserve"/>
      </w:r>
      <w:br/>
      <w:r>
        <w:rPr>
          <w:b w:val="1"/>
          <w:bCs w:val="1"/>
        </w:rPr>
        <w:t xml:space="preserve">3. </w:t>
      </w:r>
      <w:r>
        <w:rPr>
          <w:b w:val="1"/>
          <w:bCs w:val="1"/>
        </w:rPr>
        <w:t xml:space="preserve">Dokumentation und Entsorgung:</w:t>
      </w:r>
      <w:r>
        <w:rPr/>
        <w:t xml:space="preserve"/>
      </w:r>
      <w:br/>
      <w:r>
        <w:rPr/>
        <w:t xml:space="preserve">   - Nach der Sanierung müssen die entfernten Baumaterialien korrekt dokumentiert und gemäß des LVA-Codes 17 06 05 S entsorgt werden. Dies stellt sicher, dass die Materialien sicher und umweltgerecht behandelt werden.</w:t>
      </w:r>
      <w:br/>
      <w:r>
        <w:rPr/>
        <w:t xml:space="preserve"/>
      </w:r>
      <w:br/>
      <w:r>
        <w:rPr/>
        <w:t xml:space="preserve">Diese Maßnahmen gewährleisten eine gründliche Beseitigung der Schadstoffe und tragen zur Wiederherstellung eines sicheren Wohnumfeldes bei. Eine fortlaufende Überwachung während und nach den Sanierungsarbeiten wird ebenfalls empfohlen, um die erfolgreiche Durchführung zu überprüfen.</w:t>
      </w:r>
      <w:br/>
    </w:p>
    <w:p w:rsidR="00EE2E4A" w:rsidRDefault="0047123B" w:rsidP="00EE2E4A">
      <w:pPr>
        <w:spacing w:line="240" w:lineRule="auto"/>
        <w:rPr>
          <w:sz w:val="24"/>
          <w:szCs w:val="24"/>
        </w:rPr>
      </w:pPr>
      <w:r>
        <w:rPr>
          <w:sz w:val="24"/>
          <w:szCs w:val="24"/>
        </w:rPr>
        <w:t>---</w:t>
      </w:r>
      <w:r>
        <w:rPr>
          <w:sz w:val="24"/>
          <w:szCs w:val="24"/>
        </w:rPr>
        <w:br/>
        <w:t>Pascal Kallen</w:t>
      </w:r>
      <w:r>
        <w:rPr>
          <w:sz w:val="24"/>
          <w:szCs w:val="24"/>
        </w:rPr>
        <w:br/>
      </w:r>
      <w:r>
        <w:rPr>
          <w:sz w:val="24"/>
          <w:szCs w:val="24"/>
        </w:rPr>
        <w:br/>
        <w:t>asbesttest.ch GmbH</w:t>
      </w:r>
      <w:r>
        <w:rPr>
          <w:sz w:val="24"/>
          <w:szCs w:val="24"/>
        </w:rPr>
        <w:br/>
        <w:t>Pulvermühlestrasse 4</w:t>
      </w:r>
      <w:r>
        <w:rPr>
          <w:sz w:val="24"/>
          <w:szCs w:val="24"/>
        </w:rPr>
        <w:br/>
        <w:t>7000 Chur</w:t>
      </w:r>
      <w:bookmarkStart w:id="36" w:name="_1ksv4uv" w:colFirst="0" w:colLast="0"/>
      <w:bookmarkEnd w:id="0"/>
      <w:bookmarkEnd w:id="36"/>
    </w:p>
    <w:p w:rsidR="00EE2E4A" w:rsidRDefault="00EE2E4A">
      <w:pPr>
        <w:rPr>
          <w:sz w:val="24"/>
          <w:szCs w:val="24"/>
        </w:rPr>
      </w:pPr>
      <w:r>
        <w:rPr>
          <w:sz w:val="24"/>
          <w:szCs w:val="24"/>
        </w:rPr>
        <w:br w:type="page"/>
      </w:r>
    </w:p>
    <w:p w:rsidR="00EE2E4A" w:rsidRPr="008824DE" w:rsidRDefault="00EE2E4A" w:rsidP="00EE2E4A">
      <w:pPr>
        <w:rPr>
          <w:sz w:val="24"/>
          <w:szCs w:val="24"/>
        </w:rPr>
      </w:pPr>
      <w:r>
        <w:rPr>
          <w:rFonts w:ascii="Calibri" w:eastAsia="Calibri" w:hAnsi="Calibri" w:cs="Calibri"/>
          <w:b/>
          <w:color w:val="2F5496"/>
          <w:sz w:val="32"/>
          <w:szCs w:val="32"/>
        </w:rPr>
        <w:lastRenderedPageBreak/>
        <w:t>Zusätzliche Beigaben</w:t>
      </w:r>
      <w:bookmarkStart w:id="37" w:name="OLE_LINK32"/>
    </w:p>
    <w:p w:rsidR="00EE2E4A" w:rsidRDefault="00EE2E4A" w:rsidP="00EE2E4A">
      <w:pPr>
        <w:spacing w:line="240" w:lineRule="auto"/>
        <w:rPr>
          <w:rFonts w:ascii="Calibri" w:eastAsia="Calibri" w:hAnsi="Calibri" w:cs="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noWrap/>
          </w:tcPr>
          <w:p>
            <w:pPr/>
            <w:r>
              <w:rPr/>
              <w:t xml:space="preserve">MaP-1</w:t>
            </w:r>
          </w:p>
        </w:tc>
        <w:tc>
          <w:tcPr>
            <w:noWrap/>
          </w:tcPr>
          <w:p>
            <w:pPr/>
            <w:r>
              <w:rPr/>
              <w:t xml:space="preserve">Bad /Küche
</w:t>
            </w:r>
          </w:p>
          <w:p>
            <w:pPr/>
            <w:r>
              <w:rPr/>
              <w:t xml:space="preserve">EG
</w:t>
            </w:r>
          </w:p>
        </w:tc>
        <w:tc>
          <w:tcPr>
            <w:noWrap/>
          </w:tcPr>
          <w:p>
            <w:pPr/>
            <w:r>
              <w:rPr/>
              <w:t xml:space="preserve">VM-1
</w:t>
            </w:r>
          </w:p>
          <w:p>
            <w:pPr/>
            <w:r>
              <w:rPr/>
              <w:t xml:space="preserve">(elastische) Bodenbeläge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16" o:title=""/>
                </v:shape>
              </w:pict>
              <w:t xml:space="preserve"/>
            </w:r>
          </w:p>
        </w:tc>
        <w:tc>
          <w:tcPr>
            <w:noWrap/>
          </w:tcPr>
          <w:p>
            <w:pPr/>
            <w:r>
              <w:rPr/>
              <w:t xml:space="preserve"/>
              <w:pict>
                <v:shape type="#_x0000_t75" style="width:100px;height:150px" stroked="f" filled="f">
                  <v:imagedata r:id="rId17" o:title=""/>
                </v:shape>
              </w:pict>
              <w:t xml:space="preserve"/>
            </w:r>
          </w:p>
        </w:tc>
      </w:tr>
      <w:tr>
        <w:trPr/>
        <w:tc>
          <w:tcPr>
            <w:shd w:val="clear"/>
            <w:noWrap/>
          </w:tcPr>
          <w:p>
            <w:pPr/>
            <w:r>
              <w:rPr/>
              <w:t xml:space="preserve">MaP-2</w:t>
            </w:r>
          </w:p>
        </w:tc>
        <w:tc>
          <w:tcPr>
            <w:noWrap/>
          </w:tcPr>
          <w:p>
            <w:pPr/>
            <w:r>
              <w:rPr/>
              <w:t xml:space="preserve">Bad
</w:t>
            </w:r>
          </w:p>
          <w:p>
            <w:pPr/>
            <w:r>
              <w:rPr/>
              <w:t xml:space="preserve">EG
</w:t>
            </w:r>
          </w:p>
        </w:tc>
        <w:tc>
          <w:tcPr>
            <w:noWrap/>
          </w:tcPr>
          <w:p>
            <w:pPr/>
            <w:r>
              <w:rPr/>
              <w:t xml:space="preserve">VM-2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18" o:title=""/>
                </v:shape>
              </w:pict>
              <w:t xml:space="preserve"/>
            </w:r>
          </w:p>
        </w:tc>
        <w:tc>
          <w:tcPr>
            <w:noWrap/>
          </w:tcPr>
          <w:p>
            <w:pPr/>
            <w:r>
              <w:rPr/>
              <w:t xml:space="preserve"/>
              <w:pict>
                <v:shape type="#_x0000_t75" style="width:100px;height:150px" stroked="f" filled="f">
                  <v:imagedata r:id="rId19" o:title=""/>
                </v:shape>
              </w:pict>
              <w:t xml:space="preserve"/>
            </w:r>
          </w:p>
        </w:tc>
      </w:tr>
      <w:tr>
        <w:trPr/>
        <w:tc>
          <w:tcPr>
            <w:shd w:val="clear"/>
            <w:noWrap/>
          </w:tcPr>
          <w:p>
            <w:pPr/>
            <w:r>
              <w:rPr/>
              <w:t xml:space="preserve">MaP-3</w:t>
            </w:r>
          </w:p>
        </w:tc>
        <w:tc>
          <w:tcPr>
            <w:noWrap/>
          </w:tcPr>
          <w:p>
            <w:pPr/>
            <w:r>
              <w:rPr/>
              <w:t xml:space="preserve">Bad
</w:t>
            </w:r>
          </w:p>
          <w:p>
            <w:pPr/>
            <w:r>
              <w:rPr/>
              <w:t xml:space="preserve">EG
</w:t>
            </w:r>
          </w:p>
        </w:tc>
        <w:tc>
          <w:tcPr>
            <w:noWrap/>
          </w:tcPr>
          <w:p>
            <w:pPr/>
            <w:r>
              <w:rPr/>
              <w:t xml:space="preserve">VM-3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0" o:title=""/>
                </v:shape>
              </w:pict>
              <w:t xml:space="preserve"/>
            </w:r>
          </w:p>
        </w:tc>
        <w:tc>
          <w:tcPr>
            <w:noWrap/>
          </w:tcPr>
          <w:p>
            <w:pPr/>
            <w:r>
              <w:rPr/>
              <w:t xml:space="preserve"/>
              <w:pict>
                <v:shape type="#_x0000_t75" style="width:100px;height:150px" stroked="f" filled="f">
                  <v:imagedata r:id="rId21" o:title=""/>
                </v:shape>
              </w:pict>
              <w:t xml:space="preserve"/>
            </w:r>
          </w:p>
        </w:tc>
      </w:tr>
      <w:tr>
        <w:trPr/>
        <w:tc>
          <w:tcPr>
            <w:shd w:val="clear"/>
            <w:noWrap/>
          </w:tcPr>
          <w:p>
            <w:pPr/>
            <w:r>
              <w:rPr/>
              <w:t xml:space="preserve">MaP-4</w:t>
            </w:r>
          </w:p>
        </w:tc>
        <w:tc>
          <w:tcPr>
            <w:noWrap/>
          </w:tcPr>
          <w:p>
            <w:pPr/>
            <w:r>
              <w:rPr/>
              <w:t xml:space="preserve">Bad
</w:t>
            </w:r>
          </w:p>
          <w:p>
            <w:pPr/>
            <w:r>
              <w:rPr/>
              <w:t xml:space="preserve">EG
</w:t>
            </w:r>
          </w:p>
        </w:tc>
        <w:tc>
          <w:tcPr>
            <w:noWrap/>
          </w:tcPr>
          <w:p>
            <w:pPr/>
            <w:r>
              <w:rPr/>
              <w:t xml:space="preserve">VM-4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22" o:title=""/>
                </v:shape>
              </w:pict>
              <w:t xml:space="preserve"/>
            </w:r>
          </w:p>
        </w:tc>
        <w:tc>
          <w:tcPr>
            <w:noWrap/>
          </w:tcPr>
          <w:p>
            <w:pPr/>
            <w:r>
              <w:rPr/>
              <w:t xml:space="preserve"/>
              <w:pict>
                <v:shape type="#_x0000_t75" style="width:100px;height:150px" stroked="f" filled="f">
                  <v:imagedata r:id="rId23" o:title=""/>
                </v:shape>
              </w:pict>
              <w:t xml:space="preserve"/>
            </w:r>
          </w:p>
        </w:tc>
      </w:tr>
      <w:tr>
        <w:trPr/>
        <w:tc>
          <w:tcPr>
            <w:shd w:val="clear"/>
            <w:noWrap/>
          </w:tcPr>
          <w:p>
            <w:pPr/>
            <w:r>
              <w:rPr/>
              <w:t xml:space="preserve">MaP-5</w:t>
            </w:r>
          </w:p>
        </w:tc>
        <w:tc>
          <w:tcPr>
            <w:noWrap/>
          </w:tcPr>
          <w:p>
            <w:pPr/>
            <w:r>
              <w:rPr/>
              <w:t xml:space="preserve">Gang / Schlafzimmer
</w:t>
            </w:r>
          </w:p>
          <w:p>
            <w:pPr/>
            <w:r>
              <w:rPr/>
              <w:t xml:space="preserve">EG
</w:t>
            </w:r>
          </w:p>
        </w:tc>
        <w:tc>
          <w:tcPr>
            <w:noWrap/>
          </w:tcPr>
          <w:p>
            <w:pPr/>
            <w:r>
              <w:rPr/>
              <w:t xml:space="preserve">VM-5
</w:t>
            </w:r>
          </w:p>
          <w:p>
            <w:pPr/>
            <w:r>
              <w:rPr/>
              <w:t xml:space="preserve">(elastische) Bodenbeläge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24" o:title=""/>
                </v:shape>
              </w:pict>
              <w:t xml:space="preserve"/>
            </w:r>
          </w:p>
        </w:tc>
        <w:tc>
          <w:tcPr>
            <w:noWrap/>
          </w:tcPr>
          <w:p>
            <w:pPr/>
            <w:r>
              <w:rPr/>
              <w:t xml:space="preserve"/>
              <w:pict>
                <v:shape type="#_x0000_t75" style="width:100px;height:150px" stroked="f" filled="f">
                  <v:imagedata r:id="rId25" o:title=""/>
                </v:shape>
              </w:pict>
              <w:t xml:space="preserve"/>
            </w:r>
          </w:p>
        </w:tc>
      </w:tr>
      <w:tr>
        <w:trPr/>
        <w:tc>
          <w:tcPr>
            <w:shd w:val="clear"/>
            <w:noWrap/>
          </w:tcPr>
          <w:p>
            <w:pPr/>
            <w:r>
              <w:rPr/>
              <w:t xml:space="preserve">MaP-6</w:t>
            </w:r>
          </w:p>
        </w:tc>
        <w:tc>
          <w:tcPr>
            <w:noWrap/>
          </w:tcPr>
          <w:p>
            <w:pPr/>
            <w:r>
              <w:rPr/>
              <w:t xml:space="preserve">Gang
</w:t>
            </w:r>
          </w:p>
          <w:p>
            <w:pPr/>
            <w:r>
              <w:rPr/>
              <w:t xml:space="preserve">EG
</w:t>
            </w:r>
          </w:p>
        </w:tc>
        <w:tc>
          <w:tcPr>
            <w:noWrap/>
          </w:tcPr>
          <w:p>
            <w:pPr/>
            <w:r>
              <w:rPr/>
              <w:t xml:space="preserve">VM-6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6" o:title=""/>
                </v:shape>
              </w:pict>
              <w:t xml:space="preserve"/>
            </w:r>
          </w:p>
        </w:tc>
        <w:tc>
          <w:tcPr>
            <w:noWrap/>
          </w:tcPr>
          <w:p>
            <w:pPr/>
            <w:r>
              <w:rPr/>
              <w:t xml:space="preserve"/>
              <w:pict>
                <v:shape type="#_x0000_t75" style="width:100px;height:150px" stroked="f" filled="f">
                  <v:imagedata r:id="rId27" o:title=""/>
                </v:shape>
              </w:pict>
              <w:t xml:space="preserve"/>
            </w:r>
          </w:p>
        </w:tc>
      </w:tr>
      <w:tr>
        <w:trPr/>
        <w:tc>
          <w:tcPr>
            <w:shd w:val="clear"/>
            <w:noWrap/>
          </w:tcPr>
          <w:p>
            <w:pPr/>
            <w:r>
              <w:rPr/>
              <w:t xml:space="preserve">MaP-7</w:t>
            </w:r>
          </w:p>
        </w:tc>
        <w:tc>
          <w:tcPr>
            <w:noWrap/>
          </w:tcPr>
          <w:p>
            <w:pPr/>
            <w:r>
              <w:rPr/>
              <w:t xml:space="preserve">Gang
</w:t>
            </w:r>
          </w:p>
          <w:p>
            <w:pPr/>
            <w:r>
              <w:rPr/>
              <w:t xml:space="preserve">EG
</w:t>
            </w:r>
          </w:p>
        </w:tc>
        <w:tc>
          <w:tcPr>
            <w:noWrap/>
          </w:tcPr>
          <w:p>
            <w:pPr/>
            <w:r>
              <w:rPr/>
              <w:t xml:space="preserve">VM-7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28" o:title=""/>
                </v:shape>
              </w:pict>
              <w:t xml:space="preserve"/>
            </w:r>
          </w:p>
        </w:tc>
        <w:tc>
          <w:tcPr>
            <w:noWrap/>
          </w:tcPr>
          <w:p>
            <w:pPr/>
            <w:r>
              <w:rPr/>
              <w:t xml:space="preserve"/>
              <w:pict>
                <v:shape type="#_x0000_t75" style="width:100px;height:150px" stroked="f" filled="f">
                  <v:imagedata r:id="rId29" o:title=""/>
                </v:shape>
              </w:pict>
              <w:t xml:space="preserve"/>
            </w:r>
          </w:p>
        </w:tc>
      </w:tr>
      <w:tr>
        <w:trPr/>
        <w:tc>
          <w:tcPr>
            <w:shd w:val="clear"/>
            <w:noWrap/>
          </w:tcPr>
          <w:p>
            <w:pPr/>
            <w:r>
              <w:rPr/>
              <w:t xml:space="preserve">MaP-8</w:t>
            </w:r>
          </w:p>
        </w:tc>
        <w:tc>
          <w:tcPr>
            <w:noWrap/>
          </w:tcPr>
          <w:p>
            <w:pPr/>
            <w:r>
              <w:rPr/>
              <w:t xml:space="preserve">Küche
</w:t>
            </w:r>
          </w:p>
          <w:p>
            <w:pPr/>
            <w:r>
              <w:rPr/>
              <w:t xml:space="preserve">EG
</w:t>
            </w:r>
          </w:p>
        </w:tc>
        <w:tc>
          <w:tcPr>
            <w:noWrap/>
          </w:tcPr>
          <w:p>
            <w:pPr/>
            <w:r>
              <w:rPr/>
              <w:t xml:space="preserve">VM-8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30" o:title=""/>
                </v:shape>
              </w:pict>
              <w:t xml:space="preserve"/>
            </w:r>
          </w:p>
        </w:tc>
        <w:tc>
          <w:tcPr>
            <w:noWrap/>
          </w:tcPr>
          <w:p>
            <w:pPr/>
            <w:r>
              <w:rPr/>
              <w:t xml:space="preserve"/>
              <w:pict>
                <v:shape type="#_x0000_t75" style="width:100px;height:150px" stroked="f" filled="f">
                  <v:imagedata r:id="rId31" o:title=""/>
                </v:shape>
              </w:pict>
              <w:t xml:space="preserve"/>
            </w:r>
          </w:p>
        </w:tc>
      </w:tr>
      <w:tr>
        <w:trPr/>
        <w:tc>
          <w:tcPr>
            <w:shd w:val="clear"/>
            <w:noWrap/>
          </w:tcPr>
          <w:p>
            <w:pPr/>
            <w:r>
              <w:rPr/>
              <w:t xml:space="preserve">MaP-9</w:t>
            </w:r>
          </w:p>
        </w:tc>
        <w:tc>
          <w:tcPr>
            <w:noWrap/>
          </w:tcPr>
          <w:p>
            <w:pPr/>
            <w:r>
              <w:rPr/>
              <w:t xml:space="preserve">Küche
</w:t>
            </w:r>
          </w:p>
          <w:p>
            <w:pPr/>
            <w:r>
              <w:rPr/>
              <w:t xml:space="preserve">EG
</w:t>
            </w:r>
          </w:p>
        </w:tc>
        <w:tc>
          <w:tcPr>
            <w:noWrap/>
          </w:tcPr>
          <w:p>
            <w:pPr/>
            <w:r>
              <w:rPr/>
              <w:t xml:space="preserve">VM-9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32" o:title=""/>
                </v:shape>
              </w:pict>
              <w:t xml:space="preserve"/>
            </w:r>
          </w:p>
        </w:tc>
        <w:tc>
          <w:tcPr>
            <w:noWrap/>
          </w:tcPr>
          <w:p>
            <w:pPr/>
            <w:r>
              <w:rPr/>
              <w:t xml:space="preserve"/>
              <w:pict>
                <v:shape type="#_x0000_t75" style="width:100px;height:150px" stroked="f" filled="f">
                  <v:imagedata r:id="rId33" o:title=""/>
                </v:shape>
              </w:pict>
              <w:t xml:space="preserve"/>
            </w:r>
          </w:p>
        </w:tc>
      </w:tr>
      <w:tr>
        <w:trPr/>
        <w:tc>
          <w:tcPr>
            <w:shd w:val="clear"/>
            <w:noWrap/>
          </w:tcPr>
          <w:p>
            <w:pPr/>
            <w:r>
              <w:rPr/>
              <w:t xml:space="preserve">MaP-10</w:t>
            </w:r>
          </w:p>
        </w:tc>
        <w:tc>
          <w:tcPr>
            <w:noWrap/>
          </w:tcPr>
          <w:p>
            <w:pPr/>
            <w:r>
              <w:rPr/>
              <w:t xml:space="preserve">Küche
</w:t>
            </w:r>
          </w:p>
          <w:p>
            <w:pPr/>
            <w:r>
              <w:rPr/>
              <w:t xml:space="preserve">EG
</w:t>
            </w:r>
          </w:p>
        </w:tc>
        <w:tc>
          <w:tcPr>
            <w:noWrap/>
          </w:tcPr>
          <w:p>
            <w:pPr/>
            <w:r>
              <w:rPr/>
              <w:t xml:space="preserve">VM-10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34" o:title=""/>
                </v:shape>
              </w:pict>
              <w:t xml:space="preserve"/>
            </w:r>
          </w:p>
        </w:tc>
        <w:tc>
          <w:tcPr>
            <w:noWrap/>
          </w:tcPr>
          <w:p>
            <w:pPr/>
            <w:r>
              <w:rPr/>
              <w:t xml:space="preserve"/>
              <w:pict>
                <v:shape type="#_x0000_t75" style="width:100px;height:150px" stroked="f" filled="f">
                  <v:imagedata r:id="rId35" o:title=""/>
                </v:shape>
              </w:pict>
              <w:t xml:space="preserve"/>
            </w:r>
          </w:p>
        </w:tc>
      </w:tr>
      <w:tr>
        <w:trPr/>
        <w:tc>
          <w:tcPr>
            <w:shd w:val="clear"/>
            <w:noWrap/>
          </w:tcPr>
          <w:p>
            <w:pPr/>
            <w:r>
              <w:rPr/>
              <w:t xml:space="preserve">MaP-11</w:t>
            </w:r>
          </w:p>
        </w:tc>
        <w:tc>
          <w:tcPr>
            <w:noWrap/>
          </w:tcPr>
          <w:p>
            <w:pPr/>
            <w:r>
              <w:rPr/>
              <w:t xml:space="preserve">Schlafzimmer
</w:t>
            </w:r>
          </w:p>
          <w:p>
            <w:pPr/>
            <w:r>
              <w:rPr/>
              <w:t xml:space="preserve">EG
</w:t>
            </w:r>
          </w:p>
        </w:tc>
        <w:tc>
          <w:tcPr>
            <w:noWrap/>
          </w:tcPr>
          <w:p/>
        </w:tc>
        <w:tc>
          <w:tcPr>
            <w:noWrap/>
          </w:tcPr>
          <w:p>
            <w:pPr/>
            <w:r>
              <w:rPr/>
              <w:t xml:space="preserve"/>
            </w:r>
          </w:p>
        </w:tc>
        <w:tc>
          <w:tcPr>
            <w:noWrap/>
          </w:tcPr>
          <w:p>
            <w:pPr/>
            <w:r>
              <w:rPr/>
              <w:t xml:space="preserve"/>
              <w:pict>
                <v:shape type="#_x0000_t75" style="width:100px;height:150px" stroked="f" filled="f">
                  <v:imagedata r:id="rId36" o:title=""/>
                </v:shape>
              </w:pict>
              <w:t xml:space="preserve"/>
            </w:r>
          </w:p>
        </w:tc>
        <w:tc>
          <w:tcPr>
            <w:noWrap/>
          </w:tcPr>
          <w:p>
            <w:pPr/>
            <w:r>
              <w:rPr/>
              <w:t xml:space="preserve"/>
              <w:pict>
                <v:shape type="#_x0000_t75" style="width:100px;height:150px" stroked="f" filled="f">
                  <v:imagedata r:id="rId37" o:title=""/>
                </v:shape>
              </w:pict>
              <w:t xml:space="preserve"/>
            </w:r>
          </w:p>
        </w:tc>
      </w:tr>
      <w:tr>
        <w:trPr/>
        <w:tc>
          <w:tcPr>
            <w:shd w:val="clear"/>
            <w:noWrap/>
          </w:tcPr>
          <w:p>
            <w:pPr/>
            <w:r>
              <w:rPr/>
              <w:t xml:space="preserve">MaP-12</w:t>
            </w:r>
          </w:p>
        </w:tc>
        <w:tc>
          <w:tcPr>
            <w:noWrap/>
          </w:tcPr>
          <w:p>
            <w:pPr/>
            <w:r>
              <w:rPr/>
              <w:t xml:space="preserve">Wohnzimner
</w:t>
            </w:r>
          </w:p>
          <w:p>
            <w:pPr/>
            <w:r>
              <w:rPr/>
              <w:t xml:space="preserve">EH
</w:t>
            </w:r>
          </w:p>
        </w:tc>
        <w:tc>
          <w:tcPr>
            <w:noWrap/>
          </w:tcPr>
          <w:p>
            <w:pPr/>
            <w:r>
              <w:rPr/>
              <w:t xml:space="preserve">VM-11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38" o:title=""/>
                </v:shape>
              </w:pict>
              <w:t xml:space="preserve"/>
            </w:r>
          </w:p>
        </w:tc>
        <w:tc>
          <w:tcPr>
            <w:noWrap/>
          </w:tcPr>
          <w:p>
            <w:pPr/>
            <w:r>
              <w:rPr/>
              <w:t xml:space="preserve"/>
              <w:pict>
                <v:shape type="#_x0000_t75" style="width:100px;height:150px" stroked="f" filled="f">
                  <v:imagedata r:id="rId39" o:title=""/>
                </v:shape>
              </w:pict>
              <w:t xml:space="preserve"/>
            </w:r>
          </w:p>
        </w:tc>
      </w:tr>
      <w:tr>
        <w:trPr/>
        <w:tc>
          <w:tcPr>
            <w:shd w:val="clear"/>
            <w:noWrap/>
          </w:tcPr>
          <w:p>
            <w:pPr/>
            <w:r>
              <w:rPr/>
              <w:t xml:space="preserve">MaP-13</w:t>
            </w:r>
          </w:p>
        </w:tc>
        <w:tc>
          <w:tcPr>
            <w:noWrap/>
          </w:tcPr>
          <w:p>
            <w:pPr/>
            <w:r>
              <w:rPr/>
              <w:t xml:space="preserve">Wohnzimner
</w:t>
            </w:r>
          </w:p>
          <w:p>
            <w:pPr/>
            <w:r>
              <w:rPr/>
              <w:t xml:space="preserve">EG
</w:t>
            </w:r>
          </w:p>
        </w:tc>
        <w:tc>
          <w:tcPr>
            <w:noWrap/>
          </w:tcPr>
          <w:p>
            <w:pPr/>
            <w:r>
              <w:rPr/>
              <w:t xml:space="preserve">VM-12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40" o:title=""/>
                </v:shape>
              </w:pict>
              <w:t xml:space="preserve"/>
            </w:r>
          </w:p>
        </w:tc>
        <w:tc>
          <w:tcPr>
            <w:noWrap/>
          </w:tcPr>
          <w:p>
            <w:pPr/>
            <w:r>
              <w:rPr/>
              <w:t xml:space="preserve"/>
              <w:pict>
                <v:shape type="#_x0000_t75" style="width:100px;height:150px" stroked="f" filled="f">
                  <v:imagedata r:id="rId41" o:title=""/>
                </v:shape>
              </w:pict>
              <w:t xml:space="preserve"/>
            </w:r>
          </w:p>
        </w:tc>
      </w:tr>
      <w:tr>
        <w:trPr/>
        <w:tc>
          <w:tcPr>
            <w:shd w:val="clear"/>
            <w:noWrap/>
          </w:tcPr>
          <w:p>
            <w:pPr/>
            <w:r>
              <w:rPr/>
              <w:t xml:space="preserve">MaP-14</w:t>
            </w:r>
          </w:p>
        </w:tc>
        <w:tc>
          <w:tcPr>
            <w:noWrap/>
          </w:tcPr>
          <w:p>
            <w:pPr/>
            <w:r>
              <w:rPr/>
              <w:t xml:space="preserve">Wohnzimner
</w:t>
            </w:r>
          </w:p>
          <w:p>
            <w:pPr/>
            <w:r>
              <w:rPr/>
              <w:t xml:space="preserve">EG
</w:t>
            </w:r>
          </w:p>
        </w:tc>
        <w:tc>
          <w:tcPr>
            <w:noWrap/>
          </w:tcPr>
          <w:p>
            <w:pPr/>
            <w:r>
              <w:rPr/>
              <w:t xml:space="preserve">VM-13
</w:t>
            </w:r>
          </w:p>
          <w:p>
            <w:pPr/>
            <w:r>
              <w:rPr/>
              <w:t xml:space="preserve">Klebstoffe
</w:t>
            </w:r>
          </w:p>
          <w:p>
            <w:pPr/>
            <w:r>
              <w:rPr/>
              <w:t xml:space="preserve">Parkettkleber
</w:t>
            </w:r>
          </w:p>
        </w:tc>
        <w:tc>
          <w:tcPr>
            <w:noWrap/>
          </w:tcPr>
          <w:p>
            <w:pPr/>
            <w:r>
              <w:rPr/>
              <w:t xml:space="preserve"/>
            </w:r>
          </w:p>
        </w:tc>
        <w:tc>
          <w:tcPr>
            <w:noWrap/>
          </w:tcPr>
          <w:p>
            <w:pPr/>
            <w:r>
              <w:rPr/>
              <w:t xml:space="preserve"/>
              <w:pict>
                <v:shape type="#_x0000_t75" style="width:100px;height:150px" stroked="f" filled="f">
                  <v:imagedata r:id="rId42" o:title=""/>
                </v:shape>
              </w:pict>
              <w:t xml:space="preserve"/>
            </w:r>
          </w:p>
        </w:tc>
        <w:tc>
          <w:tcPr>
            <w:noWrap/>
          </w:tcPr>
          <w:p>
            <w:pPr/>
            <w:r>
              <w:rPr/>
              <w:t xml:space="preserve"/>
              <w:pict>
                <v:shape type="#_x0000_t75" style="width:100px;height:150px" stroked="f" filled="f">
                  <v:imagedata r:id="rId43" o:title=""/>
                </v:shape>
              </w:pict>
              <w:t xml:space="preserve"/>
            </w:r>
          </w:p>
        </w:tc>
      </w:tr>
      <w:tr>
        <w:trPr/>
        <w:tc>
          <w:tcPr>
            <w:shd w:val="clear"/>
            <w:noWrap/>
          </w:tcPr>
          <w:p>
            <w:pPr/>
            <w:r>
              <w:rPr/>
              <w:t xml:space="preserve">MaP-15</w:t>
            </w:r>
          </w:p>
        </w:tc>
        <w:tc>
          <w:tcPr>
            <w:noWrap/>
          </w:tcPr>
          <w:p>
            <w:pPr/>
            <w:r>
              <w:rPr/>
              <w:t xml:space="preserve">Fassade
</w:t>
            </w:r>
          </w:p>
          <w:p>
            <w:pPr/>
            <w:r>
              <w:rPr/>
              <w:t xml:space="preserve">UG/ EG / OG/ DG
</w:t>
            </w:r>
          </w:p>
        </w:tc>
        <w:tc>
          <w:tcPr>
            <w:noWrap/>
          </w:tcPr>
          <w:p>
            <w:pPr/>
            <w:r>
              <w:rPr/>
              <w:t xml:space="preserve">VM-14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44" o:title=""/>
                </v:shape>
              </w:pict>
              <w:t xml:space="preserve"/>
            </w:r>
          </w:p>
        </w:tc>
        <w:tc>
          <w:tcPr>
            <w:noWrap/>
          </w:tcPr>
          <w:p>
            <w:pPr/>
            <w:r>
              <w:rPr/>
              <w:t xml:space="preserve"/>
              <w:pict>
                <v:shape type="#_x0000_t75" style="width:100px;height:150px" stroked="f" filled="f">
                  <v:imagedata r:id="rId45" o:title=""/>
                </v:shape>
              </w:pict>
              <w:t xml:space="preserve"/>
            </w:r>
          </w:p>
        </w:tc>
      </w:tr>
    </w:tbl>
    <w:p w:rsidR="00952054" w:rsidRDefault="00952054">
      <w:pPr>
        <w:rPr>
          <w:sz w:val="24"/>
          <w:szCs w:val="24"/>
        </w:rPr>
      </w:pPr>
      <w:r>
        <w:rPr>
          <w:sz w:val="24"/>
          <w:szCs w:val="24"/>
        </w:rPr>
        <w:br w:type="page"/>
      </w:r>
    </w:p>
    <w:p w:rsidR="00223B3A" w:rsidRDefault="00223B3A" w:rsidP="00AE5C05">
      <w:pPr>
        <w:rPr>
          <w:sz w:val="24"/>
          <w:szCs w:val="24"/>
        </w:rPr>
        <w:sectPr w:rsidR="00223B3A" w:rsidSect="00AE5C05">
          <w:headerReference w:type="first" r:id="rId7"/>
          <w:pgSz w:w="11909" w:h="16834"/>
          <w:pgMar w:top="1440" w:right="1440" w:bottom="1440" w:left="1440" w:header="720" w:footer="720" w:gutter="0"/>
          <w:pgNumType w:start="1"/>
          <w:cols w:space="720"/>
          <w:titlePg/>
        </w:sectPr>
      </w:pPr>
    </w:p>
    <w:p w:rsidR="00AE5C05" w:rsidRPr="00EE2E4A" w:rsidRDefault="00223B3A" w:rsidP="00AE5C05">
      <w:pPr>
        <w:rPr>
          <w:sz w:val="24"/>
          <w:szCs w:val="24"/>
        </w:rPr>
        <w:sectPr w:rsidR="00AE5C05" w:rsidRPr="00EE2E4A" w:rsidSect="00223B3A">
          <w:headerReference w:type="first" r:id="rId8"/>
          <w:pgSz w:w="11909" w:h="16834"/>
          <w:pgMar w:top="306" w:right="306" w:bottom="306" w:left="306" w:header="720" w:footer="720" w:gutter="0"/>
          <w:pgNumType w:start="1"/>
          <w:cols w:space="720"/>
          <w:titlePg/>
        </w:sectPr>
      </w:pPr>
      <w:bookmarkStart w:id="39" w:name="OLE_LINK2"/>
      <w:r>
        <w:rPr>
          <w:sz w:val="24"/>
          <w:szCs w:val="24"/>
        </w:rPr>
        <w:lastRenderedPageBreak/>
        <w:t/>
        <w:pict>
          <v:shape type="#_x0000_t75" style="width:706.65083135392px;height:1000px" stroked="f" filled="f">
            <v:imagedata r:id="rId13" o:title=""/>
          </v:shape>
        </w:pict>
        <w:t/>
        <w:pict>
          <v:shape type="#_x0000_t75" style="width:706.65083135392px;height:1000px" stroked="f" filled="f">
            <v:imagedata r:id="rId14" o:title=""/>
          </v:shape>
        </w:pict>
        <w:t/>
      </w:r>
      <w:bookmarkEnd w:id="39"/>
    </w:p>
    <w:p w:rsidR="00D7736E" w:rsidRDefault="009C7A42">
      <w:pPr>
        <w:keepNext/>
        <w:keepLines/>
        <w:spacing w:before="240" w:after="240" w:line="240" w:lineRule="auto"/>
      </w:pPr>
      <w:r>
        <w:rPr>
          <w:sz w:val="26"/>
          <w:szCs w:val="26"/>
        </w:rPr>
        <w:lastRenderedPageBreak/>
        <w:t/>
        <w:pict>
          <v:shape type="#_x0000_t75" style="width:1000px;height:706.96893366919px" stroked="f" filled="f">
            <v:imagedata r:id="rId15" o:title=""/>
          </v:shape>
        </w:pict>
        <w:t/>
      </w:r>
      <w:r w:rsidR="00431D24">
        <w:rPr>
          <w:sz w:val="26"/>
          <w:szCs w:val="26"/>
        </w:rPr>
        <w:t/>
      </w:r>
      <w:r w:rsidR="00122816">
        <w:rPr>
          <w:sz w:val="26"/>
          <w:szCs w:val="26"/>
        </w:rPr>
        <w:t/>
      </w:r>
      <w:r w:rsidR="00B9537A">
        <w:rPr>
          <w:sz w:val="26"/>
          <w:szCs w:val="26"/>
        </w:rPr>
        <w:t/>
      </w:r>
    </w:p>
    <w:sectPr w:rsidR="00D7736E" w:rsidSect="00EA79BB">
      <w:headerReference w:type="first" r:id="rId9"/>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1068E2" w:rsidRDefault="001068E2">
      <w:pPr>
        <w:spacing w:line="240" w:lineRule="auto"/>
      </w:pPr>
      <w:r>
        <w:separator/>
      </w:r>
    </w:p>
  </w:endnote>
  <w:endnote w:type="continuationSeparator" w:id="0">
    <w:p w:rsidR="001068E2" w:rsidRDefault="001068E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1068E2" w:rsidRDefault="001068E2">
      <w:pPr>
        <w:spacing w:line="240" w:lineRule="auto"/>
      </w:pPr>
      <w:r>
        <w:separator/>
      </w:r>
    </w:p>
  </w:footnote>
  <w:footnote w:type="continuationSeparator" w:id="0">
    <w:p w:rsidR="001068E2" w:rsidRDefault="001068E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AE5C05" w:rsidRDefault="00AE5C05">
    <w:r>
      <w:t>asbesttest.ch GmbH</w:t>
    </w:r>
    <w:r>
      <w:tab/>
    </w:r>
    <w:r>
      <w:tab/>
    </w:r>
    <w:r>
      <w:tab/>
    </w:r>
    <w:r>
      <w:tab/>
    </w:r>
    <w:r>
      <w:tab/>
    </w:r>
    <w:r>
      <w:tab/>
    </w:r>
    <w:r>
      <w:br/>
      <w:t>Pulvermühlestrasse 25</w:t>
    </w:r>
    <w:r>
      <w:br/>
      <w:t>7000 Chur</w:t>
    </w:r>
    <w:r>
      <w:rPr>
        <w:noProof/>
      </w:rPr>
      <w:drawing>
        <wp:anchor distT="114300" distB="114300" distL="114300" distR="114300" simplePos="0" relativeHeight="251660288" behindDoc="0" locked="0" layoutInCell="1" hidden="0" allowOverlap="1" wp14:anchorId="7B952AAB" wp14:editId="2492E326">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p>
  <w:p w:rsidR="0075688F" w:rsidRDefault="0075688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A76118" w:rsidRDefault="00A7611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 w15:restartNumberingAfterBreak="0">
    <w:nsid w:val="1CCA2A8F"/>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2"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3"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4"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5"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6"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7"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4"/>
  </w:num>
  <w:num w:numId="2" w16cid:durableId="1529836759">
    <w:abstractNumId w:val="3"/>
  </w:num>
  <w:num w:numId="3" w16cid:durableId="450131810">
    <w:abstractNumId w:val="7"/>
  </w:num>
  <w:num w:numId="4" w16cid:durableId="1315834406">
    <w:abstractNumId w:val="0"/>
  </w:num>
  <w:num w:numId="5" w16cid:durableId="1698697349">
    <w:abstractNumId w:val="1"/>
  </w:num>
  <w:num w:numId="6" w16cid:durableId="1246719996">
    <w:abstractNumId w:val="6"/>
  </w:num>
  <w:num w:numId="7" w16cid:durableId="81143695">
    <w:abstractNumId w:val="2"/>
  </w:num>
  <w:num w:numId="8" w16cid:durableId="25960435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81F78"/>
    <w:rsid w:val="00223B3A"/>
    <w:rsid w:val="00257F02"/>
    <w:rsid w:val="003736B9"/>
    <w:rsid w:val="00390225"/>
    <w:rsid w:val="00431D24"/>
    <w:rsid w:val="0047123B"/>
    <w:rsid w:val="004C7A30"/>
    <w:rsid w:val="004F3F84"/>
    <w:rsid w:val="0050786D"/>
    <w:rsid w:val="00517E33"/>
    <w:rsid w:val="00586ED7"/>
    <w:rsid w:val="0062329B"/>
    <w:rsid w:val="00706F97"/>
    <w:rsid w:val="0075688F"/>
    <w:rsid w:val="007F0642"/>
    <w:rsid w:val="008824DE"/>
    <w:rsid w:val="008A5A24"/>
    <w:rsid w:val="008D7176"/>
    <w:rsid w:val="00952054"/>
    <w:rsid w:val="00991B2D"/>
    <w:rsid w:val="009C7A42"/>
    <w:rsid w:val="009F38C7"/>
    <w:rsid w:val="00A40263"/>
    <w:rsid w:val="00A76118"/>
    <w:rsid w:val="00A909DF"/>
    <w:rsid w:val="00AE5C05"/>
    <w:rsid w:val="00B9537A"/>
    <w:rsid w:val="00BA2833"/>
    <w:rsid w:val="00BA5493"/>
    <w:rsid w:val="00C327A4"/>
    <w:rsid w:val="00D36D8B"/>
    <w:rsid w:val="00D7736E"/>
    <w:rsid w:val="00DC58A6"/>
    <w:rsid w:val="00DD43B4"/>
    <w:rsid w:val="00E56CC1"/>
    <w:rsid w:val="00E72D44"/>
    <w:rsid w:val="00EA79BB"/>
    <w:rsid w:val="00EE2E4A"/>
    <w:rsid w:val="00F42374"/>
    <w:rsid w:val="00FE4C4B"/>
    <w:rsid w:val="00FF1DBE"/>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73DFF8"/>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 Id="rId12" Type="http://schemas.openxmlformats.org/officeDocument/2006/relationships/image" Target="media/image_rId12_document.jpeg"/><Relationship Id="rId13" Type="http://schemas.openxmlformats.org/officeDocument/2006/relationships/image" Target="media/image_rId13_document.jpeg"/><Relationship Id="rId14" Type="http://schemas.openxmlformats.org/officeDocument/2006/relationships/image" Target="media/image_rId14_document.jpeg"/><Relationship Id="rId15" Type="http://schemas.openxmlformats.org/officeDocument/2006/relationships/image" Target="media/image_rId15_document.jpeg"/><Relationship Id="rId16" Type="http://schemas.openxmlformats.org/officeDocument/2006/relationships/image" Target="media/image_rId16_document.jpeg"/><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11</Pages>
  <Words>996</Words>
  <Characters>5683</Characters>
  <Application>Microsoft Office Word</Application>
  <DocSecurity>0</DocSecurity>
  <Lines>47</Lines>
  <Paragraphs>13</Paragraphs>
  <ScaleCrop>false</ScaleCrop>
  <Company/>
  <LinksUpToDate>false</LinksUpToDate>
  <CharactersWithSpaces>6666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44</cp:revision>
  <dcterms:created xsi:type="dcterms:W3CDTF">2024-12-20T12:00:00Z</dcterms:created>
  <dcterms:modified xsi:type="dcterms:W3CDTF">2024-12-30T14:34:00Z</dcterms:modified>
</cp:coreProperties>
</file>