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Halsgasse 23, Rapperswil-Jona,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50R</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740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1030 Wohnhaus mit Nebennutzung</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Wohnungscheck mit Schadstoffbericht vor Umbau/Sanierung.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Valerio Brunner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Valerio Brunner Trümmlenweg 40A 8630 Rüti ZH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Valerio Brunner</w:t>
            </w:r>
            <w:bookmarkEnd w:id="12"/>
            <w:r w:rsidRPr="00FF365E">
              <w:rPr>
                <w:sz w:val="24"/>
                <w:szCs w:val="24"/>
                <w:lang w:val="en-GB"/>
              </w:rPr>
              <w:t xml:space="preserve"> </w:t>
            </w:r>
            <w:bookmarkStart w:id="13" w:name="OLE_LINK13"/>
            <w:r w:rsidRPr="00FF365E">
              <w:rPr>
                <w:sz w:val="24"/>
                <w:szCs w:val="24"/>
                <w:lang w:val="en-GB"/>
              </w:rPr>
              <w:t xml:space="preserve">Valerio Brunner Trümmlenweg 40A 8630 Rüti ZH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26 February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MaP-5</w:t>
            </w:r>
          </w:p>
        </w:tc>
        <w:tc>
          <w:tcPr>
            <w:noWrap/>
          </w:tcPr>
          <w:p>
            <w:pPr/>
            <w:r>
              <w:rPr/>
              <w:t xml:space="preserve">Gang
</w:t>
            </w:r>
          </w:p>
          <w:p>
            <w:pPr/>
            <w:r>
              <w:rPr/>
              <w:t xml:space="preserve">1. OG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VB-1</w:t>
            </w:r>
          </w:p>
        </w:tc>
        <w:tc>
          <w:tcPr>
            <w:noWrap/>
          </w:tcPr>
          <w:p>
            <w:pPr/>
            <w:r>
              <w:rPr/>
              <w:t xml:space="preserve">Gang
</w:t>
            </w:r>
          </w:p>
          <w:p>
            <w:pPr/>
            <w:r>
              <w:rPr/>
              <w:t xml:space="preserve">1. OG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VB-2</w:t>
            </w:r>
          </w:p>
        </w:tc>
        <w:tc>
          <w:tcPr>
            <w:noWrap/>
          </w:tcPr>
          <w:p>
            <w:pPr/>
            <w:r>
              <w:rPr/>
              <w:t xml:space="preserve">Gang
</w:t>
            </w:r>
          </w:p>
          <w:p>
            <w:pPr/>
            <w:r>
              <w:rPr/>
              <w:t xml:space="preserve">1. OG
</w:t>
            </w:r>
          </w:p>
          <w:p>
            <w:pPr/>
            <w:r>
              <w:rPr/>
              <w:t xml:space="preserve">Lüftungsrohr
</w:t>
            </w:r>
          </w:p>
        </w:tc>
        <w:tc>
          <w:tcPr>
            <w:noWrap/>
          </w:tcPr>
          <w:p>
            <w:pPr/>
            <w:r>
              <w:rPr/>
              <w:t xml:space="preserve">Lüftungsrohr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MaP-5</w:t>
            </w:r>
          </w:p>
        </w:tc>
        <w:tc>
          <w:tcPr>
            <w:noWrap/>
          </w:tcPr>
          <w:p>
            <w:pPr/>
            <w:r>
              <w:rPr/>
              <w:t xml:space="preserve">(elastische) Bodenbeläge</w:t>
            </w:r>
          </w:p>
        </w:tc>
        <w:tc>
          <w:tcPr>
            <w:noWrap/>
          </w:tcPr>
          <w:p>
            <w:pPr/>
            <w:r>
              <w:rPr/>
              <w:t xml:space="preserve">4</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MaP-5</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MaP-5, (elastische) Bodenbeläge:</w:t>
      </w:r>
      <w:r>
        <w:rPr>
          <w:sz w:val="24"/>
          <w:szCs w:val="24"/>
        </w:rPr>
        <w:t xml:space="preserve"> Der elastische Bodenbelag aus Map-5, der im Gang des ersten Obergeschosses auf dem Boden installiert ist, ist mit Asbest belastet. Diese Bodenbeläge können durch instruierte Handwerker unter Beachtung der Richtlinie 33049 und der DKS 3 rückgebaut werden und sind mit dem LVA Code 17 06 98 nk zu entsorgen.</w:t>
      </w:r>
      <w:br/>
      <w:r>
        <w:rPr>
          <w:sz w:val="24"/>
          <w:szCs w:val="24"/>
        </w:rPr>
        <w:t xml:space="preserve"/>
      </w:r>
      <w:br/>
      <w:r>
        <w:rPr>
          <w:sz w:val="24"/>
          <w:szCs w:val="24"/>
          <w:b w:val="1"/>
          <w:bCs w:val="1"/>
        </w:rPr>
        <w:t xml:space="preserve"/>
      </w:r>
      <w:r>
        <w:rPr>
          <w:sz w:val="24"/>
          <w:szCs w:val="24"/>
          <w:b w:val="1"/>
          <w:bCs w:val="1"/>
        </w:rPr>
        <w:t xml:space="preserve">VB-1, LAP:</w:t>
      </w:r>
      <w:r>
        <w:rPr>
          <w:sz w:val="24"/>
          <w:szCs w:val="24"/>
        </w:rPr>
        <w:t xml:space="preserve"> Das LAP-Material aus VB-1 im Elektrotableau des Ganges im ersten Obergeschoss enthält Asbest. Es ist von Schadstoffsanierern unter Einhaltung der Richtlinie 33036 und der DKS 3 zu sanieren und wird mit dem LVA Code 17 06 05 S entsorgt.</w:t>
      </w:r>
      <w:br/>
      <w:r>
        <w:rPr>
          <w:sz w:val="24"/>
          <w:szCs w:val="24"/>
        </w:rPr>
        <w:t xml:space="preserve"/>
      </w:r>
      <w:br/>
      <w:r>
        <w:rPr>
          <w:sz w:val="24"/>
          <w:szCs w:val="24"/>
          <w:b w:val="1"/>
          <w:bCs w:val="1"/>
        </w:rPr>
        <w:t xml:space="preserve"/>
      </w:r>
      <w:r>
        <w:rPr>
          <w:sz w:val="24"/>
          <w:szCs w:val="24"/>
          <w:b w:val="1"/>
          <w:bCs w:val="1"/>
        </w:rPr>
        <w:t xml:space="preserve">VB-2, Faserzement:</w:t>
      </w:r>
      <w:r>
        <w:rPr>
          <w:sz w:val="24"/>
          <w:szCs w:val="24"/>
        </w:rPr>
        <w:t xml:space="preserve"> Der Faserzement aus VB-2 im Lüftungsrohr des Ganges im ersten Obergeschoss weist eine Belastung mit Asbest auf. Dieses Material kann ebenfalls durch instruierte Handwerker nach den Richtlinien 33031 und der DKS 3 rückgebaut werden und ist mit dem LVA Code 17 06 98 nk auf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Wohnzimner
</w:t>
            </w:r>
          </w:p>
          <w:p>
            <w:pPr/>
            <w:r>
              <w:rPr/>
              <w:t xml:space="preserve">1. OG
</w:t>
            </w:r>
          </w:p>
          <w:p>
            <w:pPr/>
            <w:r>
              <w:rPr/>
              <w:t xml:space="preserve">Boden
</w:t>
            </w:r>
          </w:p>
        </w:tc>
        <w:tc>
          <w:tcPr>
            <w:shd w:val="clear" w:fill="red"/>
            <w:noWrap/>
          </w:tcPr>
          <w:p>
            <w:pPr/>
            <w:r>
              <w:rPr/>
              <w:t xml:space="preserve">VM-1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Wohnzimner
</w:t>
            </w:r>
          </w:p>
          <w:p>
            <w:pPr/>
            <w:r>
              <w:rPr/>
              <w:t xml:space="preserve">1. 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Wohnzimner
</w:t>
            </w:r>
          </w:p>
          <w:p>
            <w:pPr/>
            <w:r>
              <w:rPr/>
              <w:t xml:space="preserve">1. 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Wohnzimner
</w:t>
            </w:r>
          </w:p>
          <w:p>
            <w:pPr/>
            <w:r>
              <w:rPr/>
              <w:t xml:space="preserve">1. OG
</w:t>
            </w:r>
          </w:p>
          <w:p>
            <w:pPr/>
            <w:r>
              <w:rPr/>
              <w:t xml:space="preserve">Wand
</w:t>
            </w:r>
          </w:p>
        </w:tc>
        <w:tc>
          <w:tcPr>
            <w:shd w:val="clear" w:fill="red"/>
            <w:noWrap/>
          </w:tcPr>
          <w:p>
            <w:pPr/>
            <w:r>
              <w:rPr/>
              <w:t xml:space="preserve">VM-4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orange"/>
            <w:noWrap/>
          </w:tcPr>
          <w:p>
            <w:pPr/>
            <w:r>
              <w:rPr/>
              <w:t xml:space="preserve">MaP-5</w:t>
            </w:r>
          </w:p>
        </w:tc>
        <w:tc>
          <w:tcPr>
            <w:shd w:val="clear" w:fill="orange"/>
            <w:noWrap/>
          </w:tcPr>
          <w:p>
            <w:pPr/>
            <w:r>
              <w:rPr/>
              <w:t xml:space="preserve">Gang
</w:t>
            </w:r>
          </w:p>
          <w:p>
            <w:pPr/>
            <w:r>
              <w:rPr/>
              <w:t xml:space="preserve">1. OG
</w:t>
            </w:r>
          </w:p>
          <w:p>
            <w:pPr/>
            <w:r>
              <w:rPr/>
              <w:t xml:space="preserve">Boden
</w:t>
            </w:r>
          </w:p>
        </w:tc>
        <w:tc>
          <w:tcPr>
            <w:shd w:val="clear" w:fill="orange"/>
            <w:noWrap/>
          </w:tcPr>
          <w:p>
            <w:pPr/>
            <w:r>
              <w:rPr/>
              <w:t xml:space="preserve">VM-7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9" o:title=""/>
                </v:shape>
              </w:pict>
              <w:t xml:space="preserve"/>
            </w:r>
          </w:p>
        </w:tc>
        <w:tc>
          <w:tcPr>
            <w:shd w:val="clear" w:fill="orange"/>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Gang
</w:t>
            </w:r>
          </w:p>
          <w:p>
            <w:pPr/>
            <w:r>
              <w:rPr/>
              <w:t xml:space="preserve">1. OG
</w:t>
            </w:r>
          </w:p>
          <w:p>
            <w:pPr/>
            <w:r>
              <w:rPr/>
              <w:t xml:space="preserve">Wand
</w:t>
            </w:r>
          </w:p>
        </w:tc>
        <w:tc>
          <w:tcPr>
            <w:shd w:val="clear" w:fill="red"/>
            <w:noWrap/>
          </w:tcPr>
          <w:p>
            <w:pPr/>
            <w:r>
              <w:rPr/>
              <w:t xml:space="preserve">VM-8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gesamte Wohnung
</w:t>
            </w:r>
          </w:p>
          <w:p>
            <w:pPr/>
            <w:r>
              <w:rPr/>
              <w:t xml:space="preserve">DG- EG
</w:t>
            </w:r>
          </w:p>
          <w:p>
            <w:pPr/>
            <w:r>
              <w:rPr/>
              <w:t xml:space="preserve">Kamin
</w:t>
            </w:r>
          </w:p>
        </w:tc>
        <w:tc>
          <w:tcPr>
            <w:shd w:val="clear" w:fill="red"/>
            <w:noWrap/>
          </w:tcPr>
          <w:p>
            <w:pPr/>
            <w:r>
              <w:rPr/>
              <w:t xml:space="preserve">VM-9
</w:t>
            </w:r>
          </w:p>
          <w:p>
            <w:pPr/>
            <w:r>
              <w:rPr/>
              <w:t xml:space="preserve">Putz
</w:t>
            </w:r>
          </w:p>
          <w:p>
            <w:pPr/>
            <w:r>
              <w:rPr/>
              <w:t xml:space="preserve">Kamin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orange"/>
            <w:noWrap/>
          </w:tcPr>
          <w:p>
            <w:pPr/>
            <w:r>
              <w:rPr/>
              <w:t xml:space="preserve">MaP-8</w:t>
            </w:r>
          </w:p>
        </w:tc>
        <w:tc>
          <w:tcPr>
            <w:shd w:val="clear" w:fill="orange"/>
            <w:noWrap/>
          </w:tcPr>
          <w:p>
            <w:pPr/>
            <w:r>
              <w:rPr/>
              <w:t xml:space="preserve">Reduit / Bad
</w:t>
            </w:r>
          </w:p>
          <w:p>
            <w:pPr/>
            <w:r>
              <w:rPr/>
              <w:t xml:space="preserve">OG
</w:t>
            </w:r>
          </w:p>
          <w:p>
            <w:pPr/>
            <w:r>
              <w:rPr/>
              <w:t xml:space="preserve">Boden ohne Kleber
</w:t>
            </w:r>
          </w:p>
        </w:tc>
        <w:tc>
          <w:tcPr>
            <w:shd w:val="clear" w:fill="orange"/>
            <w:noWrap/>
          </w:tcPr>
          <w:p>
            <w:pPr/>
            <w:r>
              <w:rPr/>
              <w:t xml:space="preserve">VM-10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5" o:title=""/>
                </v:shape>
              </w:pict>
              <w:t xml:space="preserve"/>
            </w:r>
          </w:p>
        </w:tc>
        <w:tc>
          <w:tcPr>
            <w:shd w:val="clear" w:fill="orange"/>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Reduit / WC
</w:t>
            </w:r>
          </w:p>
          <w:p>
            <w:pPr/>
            <w:r>
              <w:rPr/>
              <w:t xml:space="preserve">OG
</w:t>
            </w:r>
          </w:p>
          <w:p>
            <w:pPr/>
            <w:r>
              <w:rPr/>
              <w:t xml:space="preserve">Sockel
</w:t>
            </w:r>
          </w:p>
        </w:tc>
        <w:tc>
          <w:tcPr>
            <w:shd w:val="clear" w:fill="red"/>
            <w:noWrap/>
          </w:tcPr>
          <w:p>
            <w:pPr/>
            <w:r>
              <w:rPr/>
              <w:t xml:space="preserve">VM-11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Reduit / Bad
</w:t>
            </w:r>
          </w:p>
          <w:p>
            <w:pPr/>
            <w:r>
              <w:rPr/>
              <w:t xml:space="preserve">OG
</w:t>
            </w:r>
          </w:p>
          <w:p>
            <w:pPr/>
            <w:r>
              <w:rPr/>
              <w:t xml:space="preserve">Wand
</w:t>
            </w:r>
          </w:p>
        </w:tc>
        <w:tc>
          <w:tcPr>
            <w:shd w:val="clear" w:fill="red"/>
            <w:noWrap/>
          </w:tcPr>
          <w:p>
            <w:pPr/>
            <w:r>
              <w:rPr/>
              <w:t xml:space="preserve">VM-12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Reduit / Bad / WC
</w:t>
            </w:r>
          </w:p>
          <w:p>
            <w:pPr/>
            <w:r>
              <w:rPr/>
              <w:t xml:space="preserve">OG
</w:t>
            </w:r>
          </w:p>
          <w:p>
            <w:pPr/>
            <w:r>
              <w:rPr/>
              <w:t xml:space="preserve">Wand
</w:t>
            </w:r>
          </w:p>
        </w:tc>
        <w:tc>
          <w:tcPr>
            <w:shd w:val="clear" w:fill="red"/>
            <w:noWrap/>
          </w:tcPr>
          <w:p>
            <w:pPr/>
            <w:r>
              <w:rPr/>
              <w:t xml:space="preserve">VM-13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Treppenhaus / Gang
</w:t>
            </w:r>
          </w:p>
          <w:p>
            <w:pPr/>
            <w:r>
              <w:rPr/>
              <w:t xml:space="preserve">OG
</w:t>
            </w:r>
          </w:p>
          <w:p>
            <w:pPr/>
            <w:r>
              <w:rPr/>
              <w:t xml:space="preserve">Boden
</w:t>
            </w:r>
          </w:p>
        </w:tc>
        <w:tc>
          <w:tcPr>
            <w:shd w:val="clear" w:fill="red"/>
            <w:noWrap/>
          </w:tcPr>
          <w:p>
            <w:pPr/>
            <w:r>
              <w:rPr/>
              <w:t xml:space="preserve">VM-14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Küche
</w:t>
            </w:r>
          </w:p>
          <w:p>
            <w:pPr/>
            <w:r>
              <w:rPr/>
              <w:t xml:space="preserve">OG
</w:t>
            </w:r>
          </w:p>
          <w:p>
            <w:pPr/>
            <w:r>
              <w:rPr/>
              <w:t xml:space="preserve">Sockel
</w:t>
            </w:r>
          </w:p>
        </w:tc>
        <w:tc>
          <w:tcPr>
            <w:shd w:val="clear" w:fill="red"/>
            <w:noWrap/>
          </w:tcPr>
          <w:p>
            <w:pPr/>
            <w:r>
              <w:rPr/>
              <w:t xml:space="preserve">VM-15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OG
</w:t>
            </w:r>
          </w:p>
          <w:p>
            <w:pPr/>
            <w:r>
              <w:rPr/>
              <w:t xml:space="preserve">Boden
</w:t>
            </w:r>
          </w:p>
        </w:tc>
        <w:tc>
          <w:tcPr>
            <w:shd w:val="clear" w:fill="red"/>
            <w:noWrap/>
          </w:tcPr>
          <w:p>
            <w:pPr/>
            <w:r>
              <w:rPr/>
              <w:t xml:space="preserve">VM-16
</w:t>
            </w:r>
          </w:p>
          <w:p>
            <w:pPr/>
            <w:r>
              <w:rPr/>
              <w:t xml:space="preserve">Plattenkleber
</w:t>
            </w:r>
          </w:p>
          <w:p>
            <w:pPr/>
            <w:r>
              <w:rPr/>
              <w:t xml:space="preserve">Küchenabdeckung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VM-19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MaP-18</w:t>
            </w:r>
          </w:p>
        </w:tc>
        <w:tc>
          <w:tcPr>
            <w:shd w:val="clear" w:fill="red"/>
            <w:noWrap/>
          </w:tcPr>
          <w:p>
            <w:pPr/>
            <w:r>
              <w:rPr/>
              <w:t xml:space="preserve">Wohnzimner
</w:t>
            </w:r>
          </w:p>
          <w:p>
            <w:pPr/>
            <w:r>
              <w:rPr/>
              <w:t xml:space="preserve">OG
</w:t>
            </w:r>
          </w:p>
          <w:p>
            <w:pPr/>
            <w:r>
              <w:rPr/>
              <w:t xml:space="preserve">Wand
</w:t>
            </w:r>
          </w:p>
        </w:tc>
        <w:tc>
          <w:tcPr>
            <w:shd w:val="clear" w:fill="red"/>
            <w:noWrap/>
          </w:tcPr>
          <w:p>
            <w:pPr/>
            <w:r>
              <w:rPr/>
              <w:t xml:space="preserve">VM-20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MaP-19</w:t>
            </w:r>
          </w:p>
        </w:tc>
        <w:tc>
          <w:tcPr>
            <w:shd w:val="clear" w:fill="red"/>
            <w:noWrap/>
          </w:tcPr>
          <w:p>
            <w:pPr/>
            <w:r>
              <w:rPr/>
              <w:t xml:space="preserve">Wohnzimner
</w:t>
            </w:r>
          </w:p>
          <w:p>
            <w:pPr/>
            <w:r>
              <w:rPr/>
              <w:t xml:space="preserve">OG
</w:t>
            </w:r>
          </w:p>
          <w:p>
            <w:pPr/>
            <w:r>
              <w:rPr/>
              <w:t xml:space="preserve">Decke
</w:t>
            </w:r>
          </w:p>
        </w:tc>
        <w:tc>
          <w:tcPr>
            <w:shd w:val="clear" w:fill="red"/>
            <w:noWrap/>
          </w:tcPr>
          <w:p>
            <w:pPr/>
            <w:r>
              <w:rPr/>
              <w:t xml:space="preserve">VM-21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green"/>
            <w:noWrap/>
          </w:tcPr>
          <w:p>
            <w:pPr/>
            <w:r>
              <w:rPr/>
              <w:t xml:space="preserve">MaP-20</w:t>
            </w:r>
          </w:p>
        </w:tc>
        <w:tc>
          <w:tcPr>
            <w:shd w:val="clear" w:fill="green"/>
            <w:noWrap/>
          </w:tcPr>
          <w:p>
            <w:pPr/>
            <w:r>
              <w:rPr/>
              <w:t xml:space="preserve">Wohnzimner
</w:t>
            </w:r>
          </w:p>
          <w:p>
            <w:pPr/>
            <w:r>
              <w:rPr/>
              <w:t xml:space="preserve">OG
</w:t>
            </w:r>
          </w:p>
          <w:p>
            <w:pPr/>
            <w:r>
              <w:rPr/>
              <w:t xml:space="preserve">Boden
</w:t>
            </w:r>
          </w:p>
        </w:tc>
        <w:tc>
          <w:tcPr>
            <w:shd w:val="clear" w:fill="green"/>
            <w:noWrap/>
          </w:tcPr>
          <w:p>
            <w:pPr/>
            <w:r>
              <w:rPr/>
              <w:t xml:space="preserve">VM-22
</w:t>
            </w:r>
          </w:p>
          <w:p>
            <w:pPr/>
            <w:r>
              <w:rPr/>
              <w:t xml:space="preserve">Spachtelmasse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9" o:title=""/>
                </v:shape>
              </w:pict>
              <w:t xml:space="preserve"/>
            </w:r>
          </w:p>
        </w:tc>
        <w:tc>
          <w:tcPr>
            <w:shd w:val="clear" w:fill="green"/>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VB-1</w:t>
            </w:r>
          </w:p>
        </w:tc>
        <w:tc>
          <w:tcPr>
            <w:shd w:val="clear" w:fill="red"/>
            <w:noWrap/>
          </w:tcPr>
          <w:p>
            <w:pPr/>
            <w:r>
              <w:rPr/>
              <w:t xml:space="preserve">Gang
</w:t>
            </w:r>
          </w:p>
          <w:p>
            <w:pPr/>
            <w:r>
              <w:rPr/>
              <w:t xml:space="preserve">1. OG
</w:t>
            </w:r>
          </w:p>
          <w:p>
            <w:pPr/>
            <w:r>
              <w:rPr/>
              <w:t xml:space="preserve">Elektrotableau
</w:t>
            </w:r>
          </w:p>
        </w:tc>
        <w:tc>
          <w:tcPr>
            <w:shd w:val="clear" w:fill="red"/>
            <w:noWrap/>
          </w:tcPr>
          <w:p>
            <w:pPr/>
            <w:r>
              <w:rPr/>
              <w:t xml:space="preserve">VM-5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orange"/>
            <w:noWrap/>
          </w:tcPr>
          <w:p>
            <w:pPr/>
            <w:r>
              <w:rPr/>
              <w:t xml:space="preserve">VB-2</w:t>
            </w:r>
          </w:p>
        </w:tc>
        <w:tc>
          <w:tcPr>
            <w:shd w:val="clear" w:fill="orange"/>
            <w:noWrap/>
          </w:tcPr>
          <w:p>
            <w:pPr/>
            <w:r>
              <w:rPr/>
              <w:t xml:space="preserve">Gang
</w:t>
            </w:r>
          </w:p>
          <w:p>
            <w:pPr/>
            <w:r>
              <w:rPr/>
              <w:t xml:space="preserve">1. OG
</w:t>
            </w:r>
          </w:p>
          <w:p>
            <w:pPr/>
            <w:r>
              <w:rPr/>
              <w:t xml:space="preserve">Lüftungsrohr
</w:t>
            </w:r>
          </w:p>
        </w:tc>
        <w:tc>
          <w:tcPr>
            <w:shd w:val="clear" w:fill="orange"/>
            <w:noWrap/>
          </w:tcPr>
          <w:p>
            <w:pPr/>
            <w:r>
              <w:rPr/>
              <w:t xml:space="preserve">VM-6
</w:t>
            </w:r>
          </w:p>
          <w:p>
            <w:pPr/>
            <w:r>
              <w:rPr/>
              <w:t xml:space="preserve">Faserzement
</w:t>
            </w:r>
          </w:p>
          <w:p>
            <w:pPr/>
            <w:r>
              <w:rPr/>
              <w:t xml:space="preserve">Lüftungsrohr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63" o:title=""/>
                </v:shape>
              </w:pict>
              <w:t xml:space="preserve"/>
            </w:r>
          </w:p>
        </w:tc>
        <w:tc>
          <w:tcPr>
            <w:shd w:val="clear" w:fill="orange"/>
            <w:noWrap/>
          </w:tcPr>
          <w:p>
            <w:pPr/>
            <w:r>
              <w:rPr/>
              <w:t xml:space="preserve"/>
              <w:pict>
                <v:shape type="#_x0000_t75" style="width:100px;height:150px" stroked="f" filled="f">
                  <v:imagedata r:id="rId6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