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Hehlstrasse 9, 8135 Langnau am Albis,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3330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730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Foitek Bauberatung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Foitek Bauberatung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MaP-15</w:t>
            </w:r>
          </w:p>
        </w:tc>
        <w:tc>
          <w:tcPr>
            <w:noWrap/>
          </w:tcPr>
          <w:p>
            <w:pPr/>
            <w:r>
              <w:rPr/>
              <w:t xml:space="preserve">Fassade
</w:t>
            </w:r>
          </w:p>
          <w:p>
            <w:pPr/>
            <w:r>
              <w:rPr/>
              <w:t xml:space="preserve">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MaP-15</w:t>
            </w:r>
          </w:p>
        </w:tc>
        <w:tc>
          <w:tcPr>
            <w:noWrap/>
          </w:tcPr>
          <w:p>
            <w:pPr/>
            <w:r>
              <w:rPr/>
              <w:t xml:space="preserve">Faserzement</w:t>
            </w:r>
          </w:p>
        </w:tc>
        <w:tc>
          <w:tcPr>
            <w:noWrap/>
          </w:tcPr>
          <w:p>
            <w:pPr/>
            <w:r>
              <w:rPr/>
              <w:t xml:space="preserve">65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MaP-15</w:t>
      </w:r>
      <w:r>
        <w:rPr>
          <w:sz w:val="24"/>
          <w:szCs w:val="24"/>
        </w:rPr>
        <w:t xml:space="preserve">: Faserzement von der Fassade, Dachgeschoss, Wand, weist Asbest als Schadstoff auf. Die Sanierung kann durch instruierte Handwerker erfolgen, indem die Richtlinien 33031 beachtet werden. Der Rückbau erfolgt mit einem lva code 17 06 98 nk in einer Deponie vom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Gesamtes Haus
</w:t>
            </w:r>
          </w:p>
          <w:p>
            <w:pPr/>
            <w:r>
              <w:rPr/>
              <w:t xml:space="preserve">EG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Gang / Treppenhaus
</w:t>
            </w:r>
          </w:p>
          <w:p>
            <w:pPr/>
            <w:r>
              <w:rPr/>
              <w:t xml:space="preserve">EG - 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Bad / WC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Bad / WC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Wohnzimmer / Esszimmer / Küche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MaP-8</w:t>
            </w:r>
          </w:p>
        </w:tc>
        <w:tc>
          <w:tcPr>
            <w:shd w:val="clear" w:fill="green"/>
            <w:noWrap/>
          </w:tcPr>
          <w:p>
            <w:pPr/>
            <w:r>
              <w:rPr/>
              <w:t xml:space="preserve">Wohnzimmer
</w:t>
            </w:r>
          </w:p>
          <w:p>
            <w:pPr/>
            <w:r>
              <w:rPr/>
              <w:t xml:space="preserve">EG
</w:t>
            </w:r>
          </w:p>
          <w:p>
            <w:pPr/>
            <w:r>
              <w:rPr/>
              <w:t xml:space="preserve">Cheminée
</w:t>
            </w:r>
          </w:p>
        </w:tc>
        <w:tc>
          <w:tcPr>
            <w:shd w:val="clear" w:fill="green"/>
            <w:noWrap/>
          </w:tcPr>
          <w:p>
            <w:pPr/>
            <w:r>
              <w:rPr/>
              <w:t xml:space="preserve">VM-11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MaP-13</w:t>
            </w:r>
          </w:p>
        </w:tc>
        <w:tc>
          <w:tcPr>
            <w:shd w:val="clear" w:fill="orange"/>
            <w:noWrap/>
          </w:tcPr>
          <w:p>
            <w:pPr/>
            <w:r>
              <w:rPr/>
              <w:t xml:space="preserve">Garage / Waschküche
</w:t>
            </w:r>
          </w:p>
          <w:p>
            <w:pPr/>
            <w:r>
              <w:rPr/>
              <w:t xml:space="preserve">UG
</w:t>
            </w:r>
          </w:p>
          <w:p>
            <w:pPr/>
            <w:r>
              <w:rPr/>
              <w:t xml:space="preserve">Boden
</w:t>
            </w:r>
          </w:p>
        </w:tc>
        <w:tc>
          <w:tcPr>
            <w:shd w:val="clear" w:fill="orange"/>
            <w:noWrap/>
          </w:tcPr>
          <w:p>
            <w:pPr/>
            <w:r>
              <w:rPr/>
              <w:t xml:space="preserve">VM-1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MaP-15</w:t>
            </w:r>
          </w:p>
        </w:tc>
        <w:tc>
          <w:tcPr>
            <w:shd w:val="clear" w:fill="orange"/>
            <w:noWrap/>
          </w:tcPr>
          <w:p>
            <w:pPr/>
            <w:r>
              <w:rPr/>
              <w:t xml:space="preserve">Fassade
</w:t>
            </w:r>
          </w:p>
          <w:p>
            <w:pPr/>
            <w:r>
              <w:rPr/>
              <w:t xml:space="preserve">DG
</w:t>
            </w:r>
          </w:p>
          <w:p>
            <w:pPr/>
            <w:r>
              <w:rPr/>
              <w:t xml:space="preserve">Wand
</w:t>
            </w:r>
          </w:p>
        </w:tc>
        <w:tc>
          <w:tcPr>
            <w:shd w:val="clear" w:fill="orange"/>
            <w:noWrap/>
          </w:tcPr>
          <w:p>
            <w:pPr/>
            <w:r>
              <w:rPr/>
              <w:t xml:space="preserve">VM-18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VM-9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VB-3</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VM-16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