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Rosgartenstrasse 5A, 8280 Kreuzlingen,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715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Willi Heinz</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Angela Willi-Ansorge  Hohrainstrasse 5b  8280 Kreuzlingen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Willi Heinz</w:t>
            </w:r>
            <w:bookmarkEnd w:id="12"/>
            <w:r w:rsidRPr="00FF365E">
              <w:rPr>
                <w:sz w:val="24"/>
                <w:szCs w:val="24"/>
                <w:lang w:val="en-GB"/>
              </w:rPr>
              <w:t xml:space="preserve"> </w:t>
            </w:r>
            <w:bookmarkStart w:id="13" w:name="OLE_LINK13"/>
            <w:r w:rsidRPr="00FF365E">
              <w:rPr>
                <w:sz w:val="24"/>
                <w:szCs w:val="24"/>
                <w:lang w:val="en-GB"/>
              </w:rPr>
              <w:t xml:space="preserve">Angela Willi-Ansorge  Hohrainstrasse 5b  8280 Kreuzlingen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Die Menge beträgt 100 Quadratmeter.</w:t>
      </w:r>
      <w:br/>
      <w:r>
        <w:rPr>
          <w:sz w:val="24"/>
          <w:szCs w:val="24"/>
        </w:rPr>
        <w:t xml:space="preserve"/>
      </w:r>
      <w:br/>
      <w:r>
        <w:rPr>
          <w:sz w:val="24"/>
          <w:szCs w:val="24"/>
          <w:b w:val="1"/>
          <w:bCs w:val="1"/>
        </w:rPr>
        <w:t xml:space="preserve"/>
      </w:r>
      <w:r>
        <w:rPr>
          <w:sz w:val="24"/>
          <w:szCs w:val="24"/>
          <w:b w:val="1"/>
          <w:bCs w:val="1"/>
        </w:rPr>
        <w:t xml:space="preserve">Isolationsmaterial PAK</w:t>
      </w:r>
      <w:r>
        <w:rPr>
          <w:sz w:val="24"/>
          <w:szCs w:val="24"/>
        </w:rPr>
        <w:t xml:space="preserve">  </w:t>
      </w:r>
      <w:br/>
      <w:r>
        <w:rPr>
          <w:sz w:val="24"/>
          <w:szCs w:val="24"/>
        </w:rPr>
        <w:t xml:space="preserve">Isolationsmaterial PAK aus Map 18 erfordert die Sanierung durch Schadstoffsanierer. Bei einem Volumen von 50 Kubikmetern sind die Richtlinien 33031 zu beachten und die Entsorgung erfolgt unter dem LVA Code 17 06 78k.</w:t>
      </w:r>
      <w:br/>
      <w:r>
        <w:rPr>
          <w:sz w:val="24"/>
          <w:szCs w:val="24"/>
        </w:rPr>
        <w:t xml:space="preserve"/>
      </w:r>
      <w:br/>
      <w:r>
        <w:rPr>
          <w:sz w:val="24"/>
          <w:szCs w:val="24"/>
          <w:b w:val="1"/>
          <w:bCs w:val="1"/>
        </w:rPr>
        <w:t xml:space="preserve"/>
      </w:r>
      <w:r>
        <w:rPr>
          <w:sz w:val="24"/>
          <w:szCs w:val="24"/>
          <w:b w:val="1"/>
          <w:bCs w:val="1"/>
        </w:rPr>
        <w:t xml:space="preserve">Fliesen</w:t>
      </w:r>
      <w:r>
        <w:rPr>
          <w:sz w:val="24"/>
          <w:szCs w:val="24"/>
        </w:rPr>
        <w:t xml:space="preserve">  </w:t>
      </w:r>
      <w:br/>
      <w:r>
        <w:rPr>
          <w:sz w:val="24"/>
          <w:szCs w:val="24"/>
        </w:rPr>
        <w:t xml:space="preserve">Fliesen aus Map 19 müssen von Schadstoffsanierern rückgebaut werden. Die Menge von 200 Quadratmetern ist den Richtlinien 33031 entsprechend zu sanieren, mit Entsorgung unter LVA Code 17 01 33k.</w:t>
      </w:r>
      <w:br/>
      <w:r>
        <w:rPr>
          <w:sz w:val="24"/>
          <w:szCs w:val="24"/>
        </w:rPr>
        <w:t xml:space="preserve"/>
      </w:r>
      <w:br/>
      <w:r>
        <w:rPr>
          <w:sz w:val="24"/>
          <w:szCs w:val="24"/>
          <w:b w:val="1"/>
          <w:bCs w:val="1"/>
        </w:rPr>
        <w:t xml:space="preserve"/>
      </w:r>
      <w:r>
        <w:rPr>
          <w:sz w:val="24"/>
          <w:szCs w:val="24"/>
          <w:b w:val="1"/>
          <w:bCs w:val="1"/>
        </w:rPr>
        <w:t xml:space="preserve">Gipskartonplatten</w:t>
      </w:r>
      <w:r>
        <w:rPr>
          <w:sz w:val="24"/>
          <w:szCs w:val="24"/>
        </w:rPr>
        <w:t xml:space="preserve">  </w:t>
      </w:r>
      <w:br/>
      <w:r>
        <w:rPr>
          <w:sz w:val="24"/>
          <w:szCs w:val="24"/>
        </w:rPr>
        <w:t xml:space="preserve">Gipskartonplatten aus Map 20 sind durch instruierte Handwerker zu sanieren. Bei der Rückbau-Menge von 75 Quadratmetern sind die Richtlinien 33031 zu beachten, mit einer Entsorgung in einer Deponie vom Typ B gemäss LVA Code 17 08 02nk.</w:t>
      </w:r>
      <w:br/>
      <w:r>
        <w:rPr>
          <w:sz w:val="24"/>
          <w:szCs w:val="24"/>
        </w:rPr>
        <w:t xml:space="preserve"/>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1.OG
</w:t>
            </w:r>
          </w:p>
        </w:tc>
        <w:tc>
          <w:tcPr>
            <w:shd w:val="clear" w:fill="red"/>
            <w:noWrap/>
          </w:tcPr>
          <w:p>
            <w:pPr/>
            <w:r>
              <w:rPr/>
              <w:t xml:space="preserve">VM-1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Zimmer
</w:t>
            </w:r>
          </w:p>
          <w:p>
            <w:pPr/>
            <w:r>
              <w:rPr/>
              <w:t xml:space="preserve">1.OG
</w:t>
            </w:r>
          </w:p>
        </w:tc>
        <w:tc>
          <w:tcPr>
            <w:shd w:val="clear" w:fill="red"/>
            <w:noWrap/>
          </w:tcPr>
          <w:p>
            <w:pPr/>
            <w:r>
              <w:rPr/>
              <w:t xml:space="preserve">VM-2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Zimmer und Wohnung
</w:t>
            </w:r>
          </w:p>
          <w:p>
            <w:pPr/>
            <w:r>
              <w:rPr/>
              <w:t xml:space="preserve">1.OG
</w:t>
            </w:r>
          </w:p>
        </w:tc>
        <w:tc>
          <w:tcPr>
            <w:shd w:val="clear" w:fill="red"/>
            <w:noWrap/>
          </w:tcPr>
          <w:p>
            <w:pPr/>
            <w:r>
              <w:rPr/>
              <w:t xml:space="preserve">VM-2
</w:t>
            </w:r>
          </w:p>
          <w:p>
            <w:pPr/>
            <w:r>
              <w:rPr/>
              <w:t xml:space="preserve">Tapete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green"/>
            <w:noWrap/>
          </w:tcPr>
          <w:p>
            <w:pPr/>
            <w:r>
              <w:rPr/>
              <w:t xml:space="preserve">MaP-4</w:t>
            </w:r>
          </w:p>
        </w:tc>
        <w:tc>
          <w:tcPr>
            <w:shd w:val="clear" w:fill="green"/>
            <w:noWrap/>
          </w:tcPr>
          <w:p>
            <w:pPr/>
            <w:r>
              <w:rPr/>
              <w:t xml:space="preserve">Zimmer und Wohnung
</w:t>
            </w:r>
          </w:p>
          <w:p>
            <w:pPr/>
            <w:r>
              <w:rPr/>
              <w:t xml:space="preserve">1.OG
</w:t>
            </w:r>
          </w:p>
        </w:tc>
        <w:tc>
          <w:tcPr>
            <w:shd w:val="clear" w:fill="green"/>
            <w:noWrap/>
          </w:tcPr>
          <w:p>
            <w:pPr/>
            <w:r>
              <w:rPr/>
              <w:t xml:space="preserve">VM-3
</w:t>
            </w:r>
          </w:p>
          <w:p>
            <w:pPr/>
            <w:r>
              <w:rPr/>
              <w:t xml:space="preserve">Verpu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7" o:title=""/>
                </v:shape>
              </w:pict>
              <w:t xml:space="preserve"/>
            </w:r>
          </w:p>
        </w:tc>
        <w:tc>
          <w:tcPr>
            <w:shd w:val="clear" w:fill="green"/>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1.OG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1.OG
</w:t>
            </w:r>
          </w:p>
        </w:tc>
        <w:tc>
          <w:tcPr>
            <w:shd w:val="clear" w:fill="red"/>
            <w:noWrap/>
          </w:tcPr>
          <w:p>
            <w:pPr/>
            <w:r>
              <w:rPr/>
              <w:t xml:space="preserve">VM-5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1.OG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1.OG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1.OG
</w:t>
            </w:r>
          </w:p>
        </w:tc>
        <w:tc>
          <w:tcPr>
            <w:shd w:val="clear" w:fill="red"/>
            <w:noWrap/>
          </w:tcPr>
          <w:p>
            <w:pPr/>
            <w:r>
              <w:rPr/>
              <w:t xml:space="preserve">VM-4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1.OG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MaP-11</w:t>
            </w:r>
          </w:p>
        </w:tc>
        <w:tc>
          <w:tcPr>
            <w:shd w:val="clear" w:fill="green"/>
            <w:noWrap/>
          </w:tcPr>
          <w:p>
            <w:pPr/>
            <w:r>
              <w:rPr/>
              <w:t xml:space="preserve">Bad und WC
</w:t>
            </w:r>
          </w:p>
          <w:p>
            <w:pPr/>
            <w:r>
              <w:rPr/>
              <w:t xml:space="preserve">1.OG
</w:t>
            </w:r>
          </w:p>
        </w:tc>
        <w:tc>
          <w:tcPr>
            <w:shd w:val="clear" w:fill="green"/>
            <w:noWrap/>
          </w:tcPr>
          <w:p>
            <w:pPr/>
            <w:r>
              <w:rPr/>
              <w:t xml:space="preserve">VM-8
</w:t>
            </w:r>
          </w:p>
          <w:p>
            <w:pPr/>
            <w:r>
              <w:rPr/>
              <w:t xml:space="preserve">Verputz
</w:t>
            </w:r>
          </w:p>
          <w:p>
            <w:pPr/>
            <w:r>
              <w:rPr/>
              <w:t xml:space="preserve">Wand und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Balkon
</w:t>
            </w:r>
          </w:p>
          <w:p>
            <w:pPr/>
            <w:r>
              <w:rPr/>
              <w:t xml:space="preserve">1.OG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