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Bärholzstrasse 55, 5610 Wohlen, AG,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709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mit Schadstoffbericht vor Rückbau mit Entsorgungskonzept.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Elias Helfenstein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Helfenstein AG Industriestrasse 53 CH-6312 Steinhausen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Elias Helfenstein</w:t>
            </w:r>
            <w:bookmarkEnd w:id="12"/>
            <w:r w:rsidRPr="00FF365E">
              <w:rPr>
                <w:sz w:val="24"/>
                <w:szCs w:val="24"/>
                <w:lang w:val="en-GB"/>
              </w:rPr>
              <w:t xml:space="preserve"> </w:t>
            </w:r>
            <w:bookmarkStart w:id="13" w:name="OLE_LINK13"/>
            <w:r w:rsidRPr="00FF365E">
              <w:rPr>
                <w:sz w:val="24"/>
                <w:szCs w:val="24"/>
                <w:lang w:val="en-GB"/>
              </w:rPr>
              <w:t xml:space="preserve">Helfenstein AG Industriestrasse 53 CH-6312 Steinhausen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2026-02-10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14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Gang und Küche
</w:t>
            </w:r>
          </w:p>
          <w:p>
            <w:pPr/>
            <w:r>
              <w:rPr/>
              <w:t xml:space="preserve">1.OG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Bad
</w:t>
            </w:r>
          </w:p>
          <w:p>
            <w:pPr/>
            <w:r>
              <w:rPr/>
              <w:t xml:space="preserve">1.OG
</w:t>
            </w:r>
          </w:p>
        </w:tc>
        <w:tc>
          <w:tcPr>
            <w:noWrap/>
          </w:tcPr>
          <w:p>
            <w:pPr/>
            <w:r>
              <w:rPr/>
              <w:t xml:space="preserve">Wand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Zwischenböden
</w:t>
            </w:r>
          </w:p>
          <w:p>
            <w:pPr/>
            <w:r>
              <w:rPr/>
              <w:t xml:space="preserve">DG-EG
</w:t>
            </w:r>
          </w:p>
        </w:tc>
        <w:tc>
          <w:tcPr>
            <w:noWrap/>
          </w:tcPr>
          <w:p>
            <w:pPr/>
            <w:r>
              <w:rPr/>
              <w:t xml:space="preserve"/>
            </w:r>
          </w:p>
        </w:tc>
        <w:tc>
          <w:tcPr>
            <w:noWrap/>
          </w:tcPr>
          <w:p>
            <w:pPr/>
            <w:r>
              <w:rPr/>
              <w:t xml:space="preserve">Schlacke</w:t>
            </w:r>
          </w:p>
        </w:tc>
        <w:tc>
          <w:tcPr>
            <w:noWrap/>
          </w:tcPr>
          <w:p>
            <w:pPr/>
            <w:r>
              <w:rPr/>
              <w:t xml:space="preserve">Schwermetall</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sämtliche Holzbauteile
</w:t>
            </w:r>
          </w:p>
          <w:p>
            <w:pPr/>
            <w:r>
              <w:rPr/>
              <w:t xml:space="preserve">DG-EG
</w:t>
            </w:r>
          </w:p>
        </w:tc>
        <w:tc>
          <w:tcPr>
            <w:noWrap/>
          </w:tcPr>
          <w:p>
            <w:pPr/>
            <w:r>
              <w:rPr/>
              <w:t xml:space="preserve"/>
            </w:r>
          </w:p>
        </w:tc>
        <w:tc>
          <w:tcPr>
            <w:noWrap/>
          </w:tcPr>
          <w:p>
            <w:pPr/>
            <w:r>
              <w:rPr/>
              <w:t xml:space="preserve">Verkleidungs- und Konstruktionsholz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Gang
</w:t>
            </w:r>
          </w:p>
          <w:p>
            <w:pPr/>
            <w:r>
              <w:rPr/>
              <w:t xml:space="preserve">1.OG
</w:t>
            </w:r>
          </w:p>
        </w:tc>
        <w:tc>
          <w:tcPr>
            <w:noWrap/>
          </w:tcPr>
          <w:p>
            <w:pPr/>
            <w:r>
              <w:rPr/>
              <w:t xml:space="preserve">Abzug an Decke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Balkon
</w:t>
            </w:r>
          </w:p>
          <w:p>
            <w:pPr/>
            <w:r>
              <w:rPr/>
              <w:t xml:space="preserve">EG
</w:t>
            </w:r>
          </w:p>
        </w:tc>
        <w:tc>
          <w:tcPr>
            <w:noWrap/>
          </w:tcPr>
          <w:p>
            <w:pPr/>
            <w:r>
              <w:rPr/>
              <w:t xml:space="preserve">Elektrokasten</w:t>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VB-6</w:t>
            </w:r>
          </w:p>
        </w:tc>
        <w:tc>
          <w:tcPr>
            <w:noWrap/>
          </w:tcPr>
          <w:p>
            <w:pPr/>
            <w:r>
              <w:rPr/>
              <w:t xml:space="preserve">Tankraum
</w:t>
            </w:r>
          </w:p>
          <w:p>
            <w:pPr/>
            <w:r>
              <w:rPr/>
              <w:t xml:space="preserve">UG
</w:t>
            </w:r>
          </w:p>
        </w:tc>
        <w:tc>
          <w:tcPr>
            <w:noWrap/>
          </w:tcPr>
          <w:p>
            <w:pPr/>
            <w:r>
              <w:rPr/>
              <w:t xml:space="preserve">Tür</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VB-7</w:t>
            </w:r>
          </w:p>
        </w:tc>
        <w:tc>
          <w:tcPr>
            <w:noWrap/>
          </w:tcPr>
          <w:p>
            <w:pPr/>
            <w:r>
              <w:rPr/>
              <w:t xml:space="preserve">Tankraum
</w:t>
            </w:r>
          </w:p>
          <w:p>
            <w:pPr/>
            <w:r>
              <w:rPr/>
              <w:t xml:space="preserve">UG
</w:t>
            </w:r>
          </w:p>
        </w:tc>
        <w:tc>
          <w:tcPr>
            <w:noWrap/>
          </w:tcPr>
          <w:p>
            <w:pPr/>
            <w:r>
              <w:rPr/>
              <w:t xml:space="preserve">Decke, teilweise eingemauert</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Cushion Vinyl</w:t>
            </w:r>
          </w:p>
        </w:tc>
        <w:tc>
          <w:tcPr>
            <w:noWrap/>
          </w:tcPr>
          <w:p>
            <w:pPr/>
            <w:r>
              <w:rPr/>
              <w:t xml:space="preserve">14m²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Cushion Vinyl</w:t>
            </w:r>
          </w:p>
        </w:tc>
        <w:tc>
          <w:tcPr>
            <w:noWrap/>
          </w:tcPr>
          <w:p>
            <w:pPr/>
            <w:r>
              <w:rPr/>
              <w:t xml:space="preserve">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Faserzement/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r>
        <w:trPr/>
        <w:tc>
          <w:tcPr>
            <w:shd w:val="clear" w:fill="red"/>
            <w:noWrap/>
          </w:tcPr>
          <w:p>
            <w:pPr/>
            <w:r>
              <w:rPr/>
              <w:t xml:space="preserve">VB-6</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VB-7</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VB-2</w:t>
            </w:r>
          </w:p>
        </w:tc>
        <w:tc>
          <w:tcPr>
            <w:noWrap/>
          </w:tcPr>
          <w:p>
            <w:pPr/>
            <w:r>
              <w:rPr/>
              <w:t xml:space="preserve">Holzschutzmittel</w:t>
            </w:r>
          </w:p>
        </w:tc>
        <w:tc>
          <w:tcPr>
            <w:noWrap/>
          </w:tcPr>
          <w:p>
            <w:pPr/>
            <w:r>
              <w:rPr/>
              <w:t xml:space="preserve">17 02 98 S</w:t>
            </w:r>
          </w:p>
        </w:tc>
        <w:tc>
          <w:tcPr>
            <w:noWrap/>
          </w:tcPr>
          <w:p>
            <w:pPr/>
            <w:r>
              <w:rPr/>
              <w:t xml:space="preserve">(Am Stück in KVA oder alternativ in Zementwerk)</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MaP-6</w:t>
      </w:r>
      <w:r>
        <w:rPr>
          <w:sz w:val="24"/>
          <w:szCs w:val="24"/>
        </w:rPr>
        <w:t xml:space="preserve">  </w:t>
      </w:r>
      <w:br/>
      <w:r>
        <w:rPr>
          <w:sz w:val="24"/>
          <w:szCs w:val="24"/>
        </w:rPr>
        <w:t xml:space="preserve">Cushion Vinyl aus dem Gang und der Küche im ersten Obergeschoss ist asbesthaltig. Es soll von einem Schadstoffsanierer auf einer Fläche von 14 Quadratmetern unter Einhaltung der EKAS 6503 Kapitel 7 Richtlinien rückgebaut werden und mit dem LVA Code 17 06 05 S entsorgt werden.</w:t>
      </w:r>
      <w:br/>
      <w:r>
        <w:rPr>
          <w:sz w:val="24"/>
          <w:szCs w:val="24"/>
        </w:rPr>
        <w:t xml:space="preserve"/>
      </w:r>
      <w:br/>
      <w:r>
        <w:rPr>
          <w:sz w:val="24"/>
          <w:szCs w:val="24"/>
          <w:b w:val="1"/>
          <w:bCs w:val="1"/>
        </w:rPr>
        <w:t xml:space="preserve"/>
      </w:r>
      <w:r>
        <w:rPr>
          <w:sz w:val="24"/>
          <w:szCs w:val="24"/>
          <w:b w:val="1"/>
          <w:bCs w:val="1"/>
        </w:rPr>
        <w:t xml:space="preserve">MaP-10</w:t>
      </w:r>
      <w:r>
        <w:rPr>
          <w:sz w:val="24"/>
          <w:szCs w:val="24"/>
        </w:rPr>
        <w:t xml:space="preserve">  </w:t>
      </w:r>
      <w:br/>
      <w:r>
        <w:rPr>
          <w:sz w:val="24"/>
          <w:szCs w:val="24"/>
        </w:rPr>
        <w:t xml:space="preserve">Im Badezimmer befindet sich asbesthaltiges Cushion Vinyl an der Wand. Dieses Material soll ebenfalls von einem Schadstoffsanierer unter EKAS 6503 Kapitel 7 Richtlinien auf einer Fläche von 1 Quadratmeter rückgebaut und mit dem LVA Code 17 06 05 S entsorgt werden.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Schlacke zwischen den Böden vom Dachgeschoss bis zum Erdgeschoss könnte Schwermetalle enthalten. Ein weiterer Experte hat die Notwendigkeit für eine weitere Untersuchung ohne Angabe von spezifischen Sanierungsvorgaben festgestellt.</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Das Verkleidungs- und Konstruktionsholz in sämtlichen Holzbauteilen vom Dachgeschoss bis zum Erdgeschoss weist einen Verdacht auf Holzschutzmittel auf. Der Verdacht wurde festgehalten, jedoch wurden keine weiteren spezifischen Sanierungsmassnahmen angegeben.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Asbest wurde im LAP am Abzug der Decke im Gang des ersten Obergeschosses entdeckt. Ein Schadstoffsanierer ist erforderlich, um das Material im Einklang mit den Richtlinien 33036 zu entfernen und mit dem LVA Code 17 06 05 S zu entsorgen.</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Der Elektrokasten auf dem Balkon im Erdgeschoss enthält Faserzement/LAP mit Asbest. Der Ausbau sollte durch zertifizierte Elektriker durchgeführt werden, während die Materialtrennung durch einen Sanierer gemäss EKAS 6503 eventuell mit 33036 erfolgt; die Entsorgung erfolgt mit dem LVA Code 17 06 98 nk oder ggf. 17 06 05 S.</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w:t>
      </w:r>
      <w:br/>
      <w:r>
        <w:rPr>
          <w:sz w:val="24"/>
          <w:szCs w:val="24"/>
        </w:rPr>
        <w:t xml:space="preserve">LAP Asbest wurde an der Tür im Tankraum des Untergeschosses festgestellt. Ein Schadstoffsanierer sollte den Rückbau unter Einhaltung der Richtlinien 33036 durchführen, verbunden mit einer Entsorgung gemäss dem LVA Code 17 06 05 S.</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w:t>
      </w:r>
      <w:br/>
      <w:r>
        <w:rPr>
          <w:sz w:val="24"/>
          <w:szCs w:val="24"/>
        </w:rPr>
        <w:t xml:space="preserve">In der Decke, die teilweise im Tankraum des Untergeschosses eingemauert ist, wurde Asbest im LAP festgestellt. Ein Schadstoffsanierer ist erforderlich, um das Material entsprechend den Richtlinien 33036 zu entfernen und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sämtliche Fenster
</w:t>
            </w:r>
          </w:p>
          <w:p>
            <w:pPr/>
            <w:r>
              <w:rPr/>
              <w:t xml:space="preserve">DG-EG
</w:t>
            </w:r>
          </w:p>
        </w:tc>
        <w:tc>
          <w:tcPr>
            <w:shd w:val="clear" w:fill="orange"/>
            <w:noWrap/>
          </w:tcPr>
          <w:p>
            <w:pPr/>
            <w:r>
              <w:rPr/>
              <w:t xml:space="preserve">VM-3
</w:t>
            </w:r>
          </w:p>
          <w:p>
            <w:pPr/>
            <w:r>
              <w:rPr/>
              <w:t xml:space="preserve">Fensterkitt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MaP-2</w:t>
            </w:r>
          </w:p>
        </w:tc>
        <w:tc>
          <w:tcPr>
            <w:shd w:val="clear" w:fill="green"/>
            <w:noWrap/>
          </w:tcPr>
          <w:p>
            <w:pPr/>
            <w:r>
              <w:rPr/>
              <w:t xml:space="preserve">Zimmer
</w:t>
            </w:r>
          </w:p>
          <w:p>
            <w:pPr/>
            <w:r>
              <w:rPr/>
              <w:t xml:space="preserve">2.OG
</w:t>
            </w:r>
          </w:p>
        </w:tc>
        <w:tc>
          <w:tcPr>
            <w:shd w:val="clear" w:fill="green"/>
            <w:noWrap/>
          </w:tcPr>
          <w:p>
            <w:pPr/>
            <w:r>
              <w:rPr/>
              <w:t xml:space="preserve">VM-5
</w:t>
            </w:r>
          </w:p>
          <w:p>
            <w:pPr/>
            <w:r>
              <w:rPr/>
              <w:t xml:space="preserve">Verputzt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2.OG
</w:t>
            </w:r>
          </w:p>
        </w:tc>
        <w:tc>
          <w:tcPr>
            <w:shd w:val="clear" w:fill="red"/>
            <w:noWrap/>
          </w:tcPr>
          <w:p>
            <w:pPr/>
            <w:r>
              <w:rPr/>
              <w:t xml:space="preserve">VM-6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MaP-4</w:t>
            </w:r>
          </w:p>
        </w:tc>
        <w:tc>
          <w:tcPr>
            <w:shd w:val="clear" w:fill="green"/>
            <w:noWrap/>
          </w:tcPr>
          <w:p>
            <w:pPr/>
            <w:r>
              <w:rPr/>
              <w:t xml:space="preserve">Gang und Treppenhaus
</w:t>
            </w:r>
          </w:p>
          <w:p>
            <w:pPr/>
            <w:r>
              <w:rPr/>
              <w:t xml:space="preserve">2.OG
</w:t>
            </w:r>
          </w:p>
        </w:tc>
        <w:tc>
          <w:tcPr>
            <w:shd w:val="clear" w:fill="green"/>
            <w:noWrap/>
          </w:tcPr>
          <w:p>
            <w:pPr/>
            <w:r>
              <w:rPr/>
              <w:t xml:space="preserve">VM-5
</w:t>
            </w:r>
          </w:p>
          <w:p>
            <w:pPr/>
            <w:r>
              <w:rPr/>
              <w:t xml:space="preserve">Verputzt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und Treppenhaus
</w:t>
            </w:r>
          </w:p>
          <w:p>
            <w:pPr/>
            <w:r>
              <w:rPr/>
              <w:t xml:space="preserve">2.OG
</w:t>
            </w:r>
          </w:p>
        </w:tc>
        <w:tc>
          <w:tcPr>
            <w:shd w:val="clear" w:fill="red"/>
            <w:noWrap/>
          </w:tcPr>
          <w:p>
            <w:pPr/>
            <w:r>
              <w:rPr/>
              <w:t xml:space="preserve">VM-8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und Küche
</w:t>
            </w:r>
          </w:p>
          <w:p>
            <w:pPr/>
            <w:r>
              <w:rPr/>
              <w:t xml:space="preserve">1.OG
</w:t>
            </w:r>
          </w:p>
        </w:tc>
        <w:tc>
          <w:tcPr>
            <w:shd w:val="clear" w:fill="red"/>
            <w:noWrap/>
          </w:tcPr>
          <w:p>
            <w:pPr/>
            <w:r>
              <w:rPr/>
              <w:t xml:space="preserve">VM-9
</w:t>
            </w:r>
          </w:p>
          <w:p>
            <w:pPr/>
            <w:r>
              <w:rPr/>
              <w:t xml:space="preserve">Cushion Vinyl
</w:t>
            </w:r>
          </w:p>
          <w:p>
            <w:pPr/>
            <w:r>
              <w:rPr/>
              <w:t xml:space="preserve">Boden
</w:t>
            </w:r>
          </w:p>
          <w:p>
            <w:pPr/>
            <w:r>
              <w:rPr/>
              <w:t xml:space="preserve">grün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1.OG
</w:t>
            </w:r>
          </w:p>
        </w:tc>
        <w:tc>
          <w:tcPr>
            <w:shd w:val="clear" w:fill="red"/>
            <w:noWrap/>
          </w:tcPr>
          <w:p>
            <w:pPr/>
            <w:r>
              <w:rPr/>
              <w:t xml:space="preserve">VM-10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1.OG
</w:t>
            </w:r>
          </w:p>
        </w:tc>
        <w:tc>
          <w:tcPr>
            <w:shd w:val="clear" w:fill="red"/>
            <w:noWrap/>
          </w:tcPr>
          <w:p>
            <w:pPr/>
            <w:r>
              <w:rPr/>
              <w:t xml:space="preserve">VM-10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green"/>
            <w:noWrap/>
          </w:tcPr>
          <w:p>
            <w:pPr/>
            <w:r>
              <w:rPr/>
              <w:t xml:space="preserve">MaP-9</w:t>
            </w:r>
          </w:p>
        </w:tc>
        <w:tc>
          <w:tcPr>
            <w:shd w:val="clear" w:fill="green"/>
            <w:noWrap/>
          </w:tcPr>
          <w:p>
            <w:pPr/>
            <w:r>
              <w:rPr/>
              <w:t xml:space="preserve">Bad
</w:t>
            </w:r>
          </w:p>
          <w:p>
            <w:pPr/>
            <w:r>
              <w:rPr/>
              <w:t xml:space="preserve">1.OG
</w:t>
            </w:r>
          </w:p>
        </w:tc>
        <w:tc>
          <w:tcPr>
            <w:shd w:val="clear" w:fill="green"/>
            <w:noWrap/>
          </w:tcPr>
          <w:p>
            <w:pPr/>
            <w:r>
              <w:rPr/>
              <w:t xml:space="preserve">VM-5
</w:t>
            </w:r>
          </w:p>
          <w:p>
            <w:pPr/>
            <w:r>
              <w:rPr/>
              <w:t xml:space="preserve">Verputzt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8" o:title=""/>
                </v:shape>
              </w:pict>
              <w:t xml:space="preserve"/>
            </w:r>
          </w:p>
        </w:tc>
        <w:tc>
          <w:tcPr>
            <w:shd w:val="clear" w:fill="green"/>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1.OG
</w:t>
            </w:r>
          </w:p>
        </w:tc>
        <w:tc>
          <w:tcPr>
            <w:shd w:val="clear" w:fill="red"/>
            <w:noWrap/>
          </w:tcPr>
          <w:p>
            <w:pPr/>
            <w:r>
              <w:rPr/>
              <w:t xml:space="preserve">VM-11
</w:t>
            </w:r>
          </w:p>
          <w:p>
            <w:pPr/>
            <w:r>
              <w:rPr/>
              <w:t xml:space="preserve">Cushion Vinyl
</w:t>
            </w:r>
          </w:p>
          <w:p>
            <w:pPr/>
            <w:r>
              <w:rPr/>
              <w:t xml:space="preserve">Wand
</w:t>
            </w:r>
          </w:p>
          <w:p>
            <w:pPr/>
            <w:r>
              <w:rPr/>
              <w:t xml:space="preserve">rot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Zimmer
</w:t>
            </w:r>
          </w:p>
          <w:p>
            <w:pPr/>
            <w:r>
              <w:rPr/>
              <w:t xml:space="preserve">EG
</w:t>
            </w:r>
          </w:p>
        </w:tc>
        <w:tc>
          <w:tcPr>
            <w:shd w:val="clear" w:fill="red"/>
            <w:noWrap/>
          </w:tcPr>
          <w:p>
            <w:pPr/>
            <w:r>
              <w:rPr/>
              <w:t xml:space="preserve">VM-6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green"/>
            <w:noWrap/>
          </w:tcPr>
          <w:p>
            <w:pPr/>
            <w:r>
              <w:rPr/>
              <w:t xml:space="preserve">MaP-12</w:t>
            </w:r>
          </w:p>
        </w:tc>
        <w:tc>
          <w:tcPr>
            <w:shd w:val="clear" w:fill="green"/>
            <w:noWrap/>
          </w:tcPr>
          <w:p>
            <w:pPr/>
            <w:r>
              <w:rPr/>
              <w:t xml:space="preserve">Fassade
</w:t>
            </w:r>
          </w:p>
          <w:p>
            <w:pPr/>
            <w:r>
              <w:rPr/>
              <w:t xml:space="preserve">EG-DG
</w:t>
            </w:r>
          </w:p>
        </w:tc>
        <w:tc>
          <w:tcPr>
            <w:shd w:val="clear" w:fill="green"/>
            <w:noWrap/>
          </w:tcPr>
          <w:p>
            <w:pPr/>
            <w:r>
              <w:rPr/>
              <w:t xml:space="preserve">VM-5
</w:t>
            </w:r>
          </w:p>
          <w:p>
            <w:pPr/>
            <w:r>
              <w:rPr/>
              <w:t xml:space="preserve">Verputzt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4" o:title=""/>
                </v:shape>
              </w:pict>
              <w:t xml:space="preserve"/>
            </w:r>
          </w:p>
        </w:tc>
        <w:tc>
          <w:tcPr>
            <w:shd w:val="clear" w:fill="green"/>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MaP-13</w:t>
            </w:r>
          </w:p>
        </w:tc>
        <w:tc>
          <w:tcPr>
            <w:shd w:val="clear" w:fill="green"/>
            <w:noWrap/>
          </w:tcPr>
          <w:p>
            <w:pPr/>
            <w:r>
              <w:rPr/>
              <w:t xml:space="preserve">Wohnzimmer
</w:t>
            </w:r>
          </w:p>
          <w:p>
            <w:pPr/>
            <w:r>
              <w:rPr/>
              <w:t xml:space="preserve">EG
</w:t>
            </w:r>
          </w:p>
        </w:tc>
        <w:tc>
          <w:tcPr>
            <w:shd w:val="clear" w:fill="green"/>
            <w:noWrap/>
          </w:tcPr>
          <w:p>
            <w:pPr/>
            <w:r>
              <w:rPr/>
              <w:t xml:space="preserve">VM-12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MaP-14</w:t>
            </w:r>
          </w:p>
        </w:tc>
        <w:tc>
          <w:tcPr>
            <w:shd w:val="clear" w:fill="green"/>
            <w:noWrap/>
          </w:tcPr>
          <w:p>
            <w:pPr/>
            <w:r>
              <w:rPr/>
              <w:t xml:space="preserve">Wohnung
</w:t>
            </w:r>
          </w:p>
          <w:p>
            <w:pPr/>
            <w:r>
              <w:rPr/>
              <w:t xml:space="preserve">EG
</w:t>
            </w:r>
          </w:p>
        </w:tc>
        <w:tc>
          <w:tcPr>
            <w:shd w:val="clear" w:fill="green"/>
            <w:noWrap/>
          </w:tcPr>
          <w:p>
            <w:pPr/>
            <w:r>
              <w:rPr/>
              <w:t xml:space="preserve">VM-5
</w:t>
            </w:r>
          </w:p>
          <w:p>
            <w:pPr/>
            <w:r>
              <w:rPr/>
              <w:t xml:space="preserve">Verputzt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Wohnung
</w:t>
            </w:r>
          </w:p>
          <w:p>
            <w:pPr/>
            <w:r>
              <w:rPr/>
              <w:t xml:space="preserve">EG
</w:t>
            </w:r>
          </w:p>
        </w:tc>
        <w:tc>
          <w:tcPr>
            <w:shd w:val="clear" w:fill="red"/>
            <w:noWrap/>
          </w:tcPr>
          <w:p>
            <w:pPr/>
            <w:r>
              <w:rPr/>
              <w:t xml:space="preserve">VM-14
</w:t>
            </w:r>
          </w:p>
          <w:p>
            <w:pPr/>
            <w:r>
              <w:rPr/>
              <w:t xml:space="preserve">Fliesenkleber
</w:t>
            </w:r>
          </w:p>
          <w:p>
            <w:pPr/>
            <w:r>
              <w:rPr/>
              <w:t xml:space="preserve">Klinkerplatten,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VB-1</w:t>
            </w:r>
          </w:p>
        </w:tc>
        <w:tc>
          <w:tcPr>
            <w:shd w:val="clear" w:fill="green"/>
            <w:noWrap/>
          </w:tcPr>
          <w:p>
            <w:pPr/>
            <w:r>
              <w:rPr/>
              <w:t xml:space="preserve">Zwischenböden
</w:t>
            </w:r>
          </w:p>
          <w:p>
            <w:pPr/>
            <w:r>
              <w:rPr/>
              <w:t xml:space="preserve">DG-EG
</w:t>
            </w:r>
          </w:p>
        </w:tc>
        <w:tc>
          <w:tcPr>
            <w:shd w:val="clear" w:fill="green"/>
            <w:noWrap/>
          </w:tcPr>
          <w:p>
            <w:pPr/>
            <w:r>
              <w:rPr/>
              <w:t xml:space="preserve">VM-1
</w:t>
            </w:r>
          </w:p>
          <w:p>
            <w:pPr/>
            <w:r>
              <w:rPr/>
              <w:t xml:space="preserve">Schlacke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yellow"/>
            <w:noWrap/>
          </w:tcPr>
          <w:p>
            <w:pPr/>
            <w:r>
              <w:rPr/>
              <w:t xml:space="preserve">VB-2</w:t>
            </w:r>
          </w:p>
        </w:tc>
        <w:tc>
          <w:tcPr>
            <w:shd w:val="clear" w:fill="yellow"/>
            <w:noWrap/>
          </w:tcPr>
          <w:p>
            <w:pPr/>
            <w:r>
              <w:rPr/>
              <w:t xml:space="preserve">sämtliche Holzbauteile
</w:t>
            </w:r>
          </w:p>
          <w:p>
            <w:pPr/>
            <w:r>
              <w:rPr/>
              <w:t xml:space="preserve">DG-EG
</w:t>
            </w:r>
          </w:p>
        </w:tc>
        <w:tc>
          <w:tcPr>
            <w:shd w:val="clear" w:fill="yellow"/>
            <w:noWrap/>
          </w:tcPr>
          <w:p>
            <w:pPr/>
            <w:r>
              <w:rPr/>
              <w:t xml:space="preserve">VM-2
</w:t>
            </w:r>
          </w:p>
          <w:p>
            <w:pPr/>
            <w:r>
              <w:rPr/>
              <w:t xml:space="preserve">Verkleidungs- und Konstruktionsholz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4" o:title=""/>
                </v:shape>
              </w:pict>
              <w:t xml:space="preserve"/>
            </w:r>
          </w:p>
        </w:tc>
        <w:tc>
          <w:tcPr>
            <w:shd w:val="clear" w:fill="yellow"/>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VB-3</w:t>
            </w:r>
          </w:p>
        </w:tc>
        <w:tc>
          <w:tcPr>
            <w:shd w:val="clear" w:fill="red"/>
            <w:noWrap/>
          </w:tcPr>
          <w:p>
            <w:pPr/>
            <w:r>
              <w:rPr/>
              <w:t xml:space="preserve">Gang
</w:t>
            </w:r>
          </w:p>
          <w:p>
            <w:pPr/>
            <w:r>
              <w:rPr/>
              <w:t xml:space="preserve">1.OG
</w:t>
            </w:r>
          </w:p>
        </w:tc>
        <w:tc>
          <w:tcPr>
            <w:shd w:val="clear" w:fill="red"/>
            <w:noWrap/>
          </w:tcPr>
          <w:p>
            <w:pPr/>
            <w:r>
              <w:rPr/>
              <w:t xml:space="preserve">VM-4
</w:t>
            </w:r>
          </w:p>
          <w:p>
            <w:pPr/>
            <w:r>
              <w:rPr/>
              <w:t xml:space="preserve">LAP
</w:t>
            </w:r>
          </w:p>
          <w:p>
            <w:pPr/>
            <w:r>
              <w:rPr/>
              <w:t xml:space="preserve">Abzug an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VB-4</w:t>
            </w:r>
          </w:p>
        </w:tc>
        <w:tc>
          <w:tcPr>
            <w:shd w:val="clear" w:fill="orange"/>
            <w:noWrap/>
          </w:tcPr>
          <w:p>
            <w:pPr/>
            <w:r>
              <w:rPr/>
              <w:t xml:space="preserve">Bad
</w:t>
            </w:r>
          </w:p>
          <w:p>
            <w:pPr/>
            <w:r>
              <w:rPr/>
              <w:t xml:space="preserve">2.OG
</w:t>
            </w:r>
          </w:p>
        </w:tc>
        <w:tc>
          <w:tcPr>
            <w:shd w:val="clear" w:fill="orange"/>
            <w:noWrap/>
          </w:tcPr>
          <w:p>
            <w:pPr/>
            <w:r>
              <w:rPr/>
              <w:t xml:space="preserve">VM-7
</w:t>
            </w:r>
          </w:p>
          <w:p>
            <w:pPr/>
            <w:r>
              <w:rPr/>
              <w:t xml:space="preserve">(elastische) Bodenbeläge
</w:t>
            </w:r>
          </w:p>
          <w:p>
            <w:pPr/>
            <w:r>
              <w:rPr/>
              <w:t xml:space="preserve">Wand oder 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VB-5</w:t>
            </w:r>
          </w:p>
        </w:tc>
        <w:tc>
          <w:tcPr>
            <w:shd w:val="clear" w:fill="red"/>
            <w:noWrap/>
          </w:tcPr>
          <w:p>
            <w:pPr/>
            <w:r>
              <w:rPr/>
              <w:t xml:space="preserve">Balkon
</w:t>
            </w:r>
          </w:p>
          <w:p>
            <w:pPr/>
            <w:r>
              <w:rPr/>
              <w:t xml:space="preserve">EG
</w:t>
            </w:r>
          </w:p>
        </w:tc>
        <w:tc>
          <w:tcPr>
            <w:shd w:val="clear" w:fill="red"/>
            <w:noWrap/>
          </w:tcPr>
          <w:p>
            <w:pPr/>
            <w:r>
              <w:rPr/>
              <w:t xml:space="preserve">VM-13
</w:t>
            </w:r>
          </w:p>
          <w:p>
            <w:pPr/>
            <w:r>
              <w:rPr/>
              <w:t xml:space="preserve">Faserzement/ 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VB-6</w:t>
            </w:r>
          </w:p>
        </w:tc>
        <w:tc>
          <w:tcPr>
            <w:shd w:val="clear" w:fill="red"/>
            <w:noWrap/>
          </w:tcPr>
          <w:p>
            <w:pPr/>
            <w:r>
              <w:rPr/>
              <w:t xml:space="preserve">Tankraum
</w:t>
            </w:r>
          </w:p>
          <w:p>
            <w:pPr/>
            <w:r>
              <w:rPr/>
              <w:t xml:space="preserve">UG
</w:t>
            </w:r>
          </w:p>
        </w:tc>
        <w:tc>
          <w:tcPr>
            <w:shd w:val="clear" w:fill="red"/>
            <w:noWrap/>
          </w:tcPr>
          <w:p>
            <w:pPr/>
            <w:r>
              <w:rPr/>
              <w:t xml:space="preserve">VM-15
</w:t>
            </w:r>
          </w:p>
          <w:p>
            <w:pPr/>
            <w:r>
              <w:rPr/>
              <w:t xml:space="preserve">LAP
</w:t>
            </w:r>
          </w:p>
          <w:p>
            <w:pPr/>
            <w:r>
              <w:rPr/>
              <w:t xml:space="preserve">Tür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VB-7</w:t>
            </w:r>
          </w:p>
        </w:tc>
        <w:tc>
          <w:tcPr>
            <w:shd w:val="clear" w:fill="red"/>
            <w:noWrap/>
          </w:tcPr>
          <w:p>
            <w:pPr/>
            <w:r>
              <w:rPr/>
              <w:t xml:space="preserve">Tankraum
</w:t>
            </w:r>
          </w:p>
          <w:p>
            <w:pPr/>
            <w:r>
              <w:rPr/>
              <w:t xml:space="preserve">UG
</w:t>
            </w:r>
          </w:p>
        </w:tc>
        <w:tc>
          <w:tcPr>
            <w:shd w:val="clear" w:fill="red"/>
            <w:noWrap/>
          </w:tcPr>
          <w:p>
            <w:pPr/>
            <w:r>
              <w:rPr/>
              <w:t xml:space="preserve">VM-16
</w:t>
            </w:r>
          </w:p>
          <w:p>
            <w:pPr/>
            <w:r>
              <w:rPr/>
              <w:t xml:space="preserve">LAP
</w:t>
            </w:r>
          </w:p>
          <w:p>
            <w:pPr/>
            <w:r>
              <w:rPr/>
              <w:t xml:space="preserve">Decke, teilweise eingemauert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VB-8</w:t>
            </w:r>
          </w:p>
        </w:tc>
        <w:tc>
          <w:tcPr>
            <w:shd w:val="clear" w:fill="red"/>
            <w:noWrap/>
          </w:tcPr>
          <w:p>
            <w:pPr/>
            <w:r>
              <w:rPr/>
              <w:t xml:space="preserve">Werksratt
</w:t>
            </w:r>
          </w:p>
          <w:p>
            <w:pPr/>
            <w:r>
              <w:rPr/>
              <w:t xml:space="preserve">EG
</w:t>
            </w:r>
          </w:p>
        </w:tc>
        <w:tc>
          <w:tcPr>
            <w:shd w:val="clear" w:fill="red"/>
            <w:noWrap/>
          </w:tcPr>
          <w:p>
            <w:pPr/>
            <w:r>
              <w:rPr/>
              <w:t xml:space="preserve">VM-17
</w:t>
            </w:r>
          </w:p>
          <w:p>
            <w:pPr/>
            <w:r>
              <w:rPr/>
              <w:t xml:space="preserve">LAP
</w:t>
            </w:r>
          </w:p>
          <w:p>
            <w:pPr/>
            <w:r>
              <w:rPr/>
              <w:t xml:space="preserve">Wand und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