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Bergstrasse 34, Luzern,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708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Maresa Allgayer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Maresa Allgayer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29 January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Map 14 Faserzement</w:t>
      </w:r>
      <w:r>
        <w:rPr>
          <w:sz w:val="24"/>
          <w:szCs w:val="24"/>
        </w:rPr>
        <w:t xml:space="preserve">: Faserzement aus Map 14 kann von einem Schadstoffsanierer unter Einhaltung der Richtlinien 33031 rückgebaut werden. Das Material ist mit dem LVA Code 17 06 05 AC in einer Deponie Typ B zu entsorgen.</w:t>
      </w:r>
      <w:br/>
      <w:r>
        <w:rPr>
          <w:sz w:val="24"/>
          <w:szCs w:val="24"/>
        </w:rPr>
        <w:t xml:space="preserve"/>
      </w:r>
      <w:br/>
      <w:r>
        <w:rPr>
          <w:sz w:val="24"/>
          <w:szCs w:val="24"/>
          <w:b w:val="1"/>
          <w:bCs w:val="1"/>
        </w:rPr>
        <w:t xml:space="preserve"/>
      </w:r>
      <w:r>
        <w:rPr>
          <w:sz w:val="24"/>
          <w:szCs w:val="24"/>
          <w:b w:val="1"/>
          <w:bCs w:val="1"/>
        </w:rPr>
        <w:t xml:space="preserve">Map 16 Kittfugen</w:t>
      </w:r>
      <w:r>
        <w:rPr>
          <w:sz w:val="24"/>
          <w:szCs w:val="24"/>
        </w:rPr>
        <w:t xml:space="preserve">: Kittfugen aus Map 16 sind ebenfalls durch Schadstoffsanierer mit Beachtung der Richtlinie 33041 zu sanieren. Diese Kittfugen sollen mit dem LVA Code 17 06 04 AC fachgerecht deponiert werden.</w:t>
      </w:r>
      <w:br/>
      <w:r>
        <w:rPr>
          <w:sz w:val="24"/>
          <w:szCs w:val="24"/>
        </w:rPr>
        <w:t xml:space="preserve"/>
      </w:r>
      <w:br/>
      <w:r>
        <w:rPr>
          <w:sz w:val="24"/>
          <w:szCs w:val="24"/>
          <w:b w:val="1"/>
          <w:bCs w:val="1"/>
        </w:rPr>
        <w:t xml:space="preserve"/>
      </w:r>
      <w:r>
        <w:rPr>
          <w:sz w:val="24"/>
          <w:szCs w:val="24"/>
          <w:b w:val="1"/>
          <w:bCs w:val="1"/>
        </w:rPr>
        <w:t xml:space="preserve">Map 17 Faserzement</w:t>
      </w:r>
      <w:r>
        <w:rPr>
          <w:sz w:val="24"/>
          <w:szCs w:val="24"/>
        </w:rPr>
        <w:t xml:space="preserve">: Faserzement aus Map 17 kann durch instruierte Handwerker unter Einhaltung der Richtlinien 33031 rückgebaut werden. Es ist mit dem LVA Code 17 06 98 NK in einer Deponie Typ B zu entsorgen.</w:t>
      </w:r>
      <w:br/>
      <w:r>
        <w:rPr>
          <w:sz w:val="24"/>
          <w:szCs w:val="24"/>
        </w:rPr>
        <w:t xml:space="preserve"/>
      </w:r>
      <w:br/>
      <w:r>
        <w:rPr>
          <w:sz w:val="24"/>
          <w:szCs w:val="24"/>
          <w:b w:val="1"/>
          <w:bCs w:val="1"/>
        </w:rPr>
        <w:t xml:space="preserve"/>
      </w:r>
      <w:r>
        <w:rPr>
          <w:sz w:val="24"/>
          <w:szCs w:val="24"/>
          <w:b w:val="1"/>
          <w:bCs w:val="1"/>
        </w:rPr>
        <w:t xml:space="preserve">Map 18 Kittfugen</w:t>
      </w:r>
      <w:r>
        <w:rPr>
          <w:sz w:val="24"/>
          <w:szCs w:val="24"/>
        </w:rPr>
        <w:t xml:space="preserve">: Kittfugen aus Map 18 sollen von instruierten Handwerkern nach den Richtlinien 430 ausgeschieden werden. Diese Materialien sind mit dem LVA Code 17 06 04 AC vorschriftsgemäss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Wohnzimmer
</w:t>
            </w:r>
          </w:p>
          <w:p>
            <w:pPr/>
            <w:r>
              <w:rPr/>
              <w:t xml:space="preserve">EG
</w:t>
            </w:r>
          </w:p>
        </w:tc>
        <w:tc>
          <w:tcPr>
            <w:shd w:val="clear" w:fill="green"/>
            <w:noWrap/>
          </w:tcPr>
          <w:p>
            <w:pPr/>
            <w:r>
              <w:rPr/>
              <w:t xml:space="preserve">VM-1
</w:t>
            </w:r>
          </w:p>
          <w:p>
            <w:pPr/>
            <w:r>
              <w:rPr/>
              <w:t xml:space="preserve">Verputz und Tapete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r>
        <w:trPr/>
        <w:tc>
          <w:tcPr>
            <w:shd w:val="clear" w:fill="green"/>
            <w:noWrap/>
          </w:tcPr>
          <w:p>
            <w:pPr/>
            <w:r>
              <w:rPr/>
              <w:t xml:space="preserve">MaP-2</w:t>
            </w:r>
          </w:p>
        </w:tc>
        <w:tc>
          <w:tcPr>
            <w:shd w:val="clear" w:fill="green"/>
            <w:noWrap/>
          </w:tcPr>
          <w:p>
            <w:pPr/>
            <w:r>
              <w:rPr/>
              <w:t xml:space="preserve">Bad
</w:t>
            </w:r>
          </w:p>
          <w:p>
            <w:pPr/>
            <w:r>
              <w:rPr/>
              <w:t xml:space="preserve">EG
</w:t>
            </w:r>
          </w:p>
        </w:tc>
        <w:tc>
          <w:tcPr>
            <w:shd w:val="clear" w:fill="green"/>
            <w:noWrap/>
          </w:tcPr>
          <w:p>
            <w:pPr/>
            <w:r>
              <w:rPr/>
              <w:t xml:space="preserve">VM-2
</w:t>
            </w:r>
          </w:p>
          <w:p>
            <w:pPr/>
            <w:r>
              <w:rPr/>
              <w:t xml:space="preserve">alter Fliesenkleber / Verputz
</w:t>
            </w:r>
          </w:p>
          <w:p>
            <w:pPr/>
            <w:r>
              <w:rPr/>
              <w:t xml:space="preserve">Wand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3" o:title=""/>
                </v:shape>
              </w:pict>
              <w:t xml:space="preserve"/>
            </w:r>
          </w:p>
        </w:tc>
        <w:tc>
          <w:tcPr>
            <w:shd w:val="clear" w:fill="green"/>
            <w:noWrap/>
          </w:tcPr>
          <w:p>
            <w:pPr/>
            <w:r>
              <w:rPr/>
              <w:t xml:space="preserve"/>
              <w:pict>
                <v:shape type="#_x0000_t75" style="width:100px;height:150px" stroked="f" filled="f">
                  <v:imagedata r:id="rId24" o:title=""/>
                </v:shape>
              </w:pict>
              <w:t xml:space="preserve"/>
            </w:r>
          </w:p>
        </w:tc>
      </w:tr>
      <w:tr>
        <w:trPr/>
        <w:tc>
          <w:tcPr>
            <w:shd w:val="clear" w:fill="green"/>
            <w:noWrap/>
          </w:tcPr>
          <w:p>
            <w:pPr/>
            <w:r>
              <w:rPr/>
              <w:t xml:space="preserve">MaP-3</w:t>
            </w:r>
          </w:p>
        </w:tc>
        <w:tc>
          <w:tcPr>
            <w:shd w:val="clear" w:fill="green"/>
            <w:noWrap/>
          </w:tcPr>
          <w:p>
            <w:pPr/>
            <w:r>
              <w:rPr/>
              <w:t xml:space="preserve">Bad
</w:t>
            </w:r>
          </w:p>
          <w:p>
            <w:pPr/>
            <w:r>
              <w:rPr/>
              <w:t xml:space="preserve">EG
</w:t>
            </w:r>
          </w:p>
        </w:tc>
        <w:tc>
          <w:tcPr>
            <w:shd w:val="clear" w:fill="green"/>
            <w:noWrap/>
          </w:tcPr>
          <w:p>
            <w:pPr/>
            <w:r>
              <w:rPr/>
              <w:t xml:space="preserve">VM-3
</w:t>
            </w:r>
          </w:p>
          <w:p>
            <w:pPr/>
            <w:r>
              <w:rPr/>
              <w:t xml:space="preserve">Liegestaub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5" o:title=""/>
                </v:shape>
              </w:pict>
              <w:t xml:space="preserve"/>
            </w:r>
          </w:p>
        </w:tc>
        <w:tc>
          <w:tcPr>
            <w:shd w:val="clear" w:fill="green"/>
            <w:noWrap/>
          </w:tcPr>
          <w:p>
            <w:pPr/>
            <w:r>
              <w:rPr/>
              <w:t xml:space="preserve"/>
              <w:pict>
                <v:shape type="#_x0000_t75" style="width:100px;height:150px" stroked="f" filled="f">
                  <v:imagedata r:id="rId26"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