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Sennhüttenstrasse 17, Horgen,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HN7913</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695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Guido von Staden</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Guido von Staden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02 February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VB-1</w:t>
            </w:r>
          </w:p>
        </w:tc>
        <w:tc>
          <w:tcPr>
            <w:noWrap/>
          </w:tcPr>
          <w:p>
            <w:pPr/>
            <w:r>
              <w:rPr/>
              <w:t xml:space="preserve">Wohnzimmer
</w:t>
            </w:r>
          </w:p>
          <w:p>
            <w:pPr/>
            <w:r>
              <w:rPr/>
              <w:t xml:space="preserve">4.OG
</w:t>
            </w:r>
          </w:p>
        </w:tc>
        <w:tc>
          <w:tcPr>
            <w:noWrap/>
          </w:tcPr>
          <w:p>
            <w:pPr/>
            <w:r>
              <w:rPr/>
              <w:t xml:space="preserve">Fensterglas</w:t>
            </w:r>
          </w:p>
        </w:tc>
        <w:tc>
          <w:tcPr>
            <w:noWrap/>
          </w:tcPr>
          <w:p>
            <w:pPr/>
            <w:r>
              <w:rPr/>
              <w:t xml:space="preserve">Fensterkitt</w:t>
            </w:r>
          </w:p>
        </w:tc>
        <w:tc>
          <w:tcPr>
            <w:noWrap/>
          </w:tcPr>
          <w:p>
            <w:pPr/>
            <w:r>
              <w:rPr/>
              <w:t xml:space="preserve">Asbest</w:t>
            </w:r>
          </w:p>
        </w:tc>
        <w:tc>
          <w:tcPr>
            <w:noWrap/>
          </w:tcPr>
          <w:p>
            <w:pPr/>
            <w:r>
              <w:rPr/>
              <w:t xml:space="preserve"/>
            </w:r>
          </w:p>
        </w:tc>
        <w:tc>
          <w:tcPr>
            <w:noWrap/>
          </w:tcPr>
          <w:p>
            <w:pPr>
              <w:jc w:val="center"/>
            </w:pPr>
            <w:r>
              <w:rPr/>
              <w:t xml:space="preserve">X</w:t>
            </w:r>
          </w:p>
        </w:tc>
        <w:tc>
          <w:tcPr>
            <w:noWrap/>
          </w:tcPr>
          <w:p>
            <w:pPr/>
            <w:r>
              <w:rPr/>
              <w:t xml:space="preserve"/>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VB-1</w:t>
            </w:r>
          </w:p>
        </w:tc>
        <w:tc>
          <w:tcPr>
            <w:noWrap/>
          </w:tcPr>
          <w:p>
            <w:pPr/>
            <w:r>
              <w:rPr/>
              <w:t xml:space="preserve">Fensterkitt</w:t>
            </w:r>
          </w:p>
        </w:tc>
        <w:tc>
          <w:tcPr>
            <w:noWrap/>
          </w:tcPr>
          <w:p>
            <w:pPr/>
            <w:r>
              <w:rPr/>
              <w:t xml:space="preserve"/>
            </w:r>
          </w:p>
        </w:tc>
        <w:tc>
          <w:tcPr>
            <w:noWrap/>
          </w:tcPr>
          <w:p>
            <w:pPr/>
            <w:r>
              <w:rPr/>
              <w:t xml:space="preserve">3</w:t>
            </w:r>
          </w:p>
        </w:tc>
        <w:tc>
          <w:tcPr>
            <w:noWrap/>
          </w:tcPr>
          <w:p>
            <w:pPr/>
            <w:r>
              <w:rPr/>
              <w:t xml:space="preserve">33039 - 33044</w:t>
            </w:r>
          </w:p>
        </w:tc>
        <w:tc>
          <w:tcPr>
            <w:noWrap/>
          </w:tcPr>
          <w:p>
            <w:pPr/>
            <w:r>
              <w:rPr/>
              <w:t xml:space="preserve">17 06 98</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VB-1</w:t>
            </w:r>
          </w:p>
        </w:tc>
        <w:tc>
          <w:tcPr>
            <w:noWrap/>
          </w:tcPr>
          <w:p>
            <w:pPr/>
            <w:r>
              <w:rPr/>
              <w:t xml:space="preserve">Asbest festgebunden ggf. Asbest schwachgebunden</w:t>
            </w:r>
          </w:p>
        </w:tc>
        <w:tc>
          <w:tcPr>
            <w:noWrap/>
          </w:tcPr>
          <w:p>
            <w:pPr/>
            <w:r>
              <w:rPr/>
              <w:t xml:space="preserve">17 06 98</w:t>
            </w:r>
          </w:p>
        </w:tc>
        <w:tc>
          <w:tcPr>
            <w:noWrap/>
          </w:tcPr>
          <w:p>
            <w:pPr/>
            <w:r>
              <w:rPr/>
              <w:t xml:space="preserve">KVA ggf. Deponie Typ E</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VB-1, Material Fensterkitt</w:t>
      </w:r>
      <w:r>
        <w:rPr>
          <w:sz w:val="24"/>
          <w:szCs w:val="24"/>
        </w:rPr>
        <w:t xml:space="preserve"> Fensterkitt aus dem Wohnzimmer im 4. Obergeschoss, der Asbest enthält, wird durch instruierte Handwerker unter Einhaltung der Richtlinien 33039 bis 33044 rückgebaut. Der Kitt ist als Abfall mit dem LVA-Code 17 06 98 zu kennzeichnen.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4.OG
</w:t>
            </w:r>
          </w:p>
        </w:tc>
        <w:tc>
          <w:tcPr>
            <w:shd w:val="clear" w:fill="red"/>
            <w:noWrap/>
          </w:tcPr>
          <w:p>
            <w:pPr/>
            <w:r>
              <w:rPr/>
              <w:t xml:space="preserve">VM-1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4.OG
</w:t>
            </w:r>
          </w:p>
        </w:tc>
        <w:tc>
          <w:tcPr>
            <w:shd w:val="clear" w:fill="red"/>
            <w:noWrap/>
          </w:tcPr>
          <w:p>
            <w:pPr/>
            <w:r>
              <w:rPr/>
              <w:t xml:space="preserve">VM-2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4.OG
</w:t>
            </w:r>
          </w:p>
        </w:tc>
        <w:tc>
          <w:tcPr>
            <w:shd w:val="clear" w:fill="red"/>
            <w:noWrap/>
          </w:tcPr>
          <w:p>
            <w:pPr/>
            <w:r>
              <w:rPr/>
              <w:t xml:space="preserve">VM-3
</w:t>
            </w:r>
          </w:p>
          <w:p>
            <w:pPr/>
            <w:r>
              <w:rPr/>
              <w:t xml:space="preserve">Verputz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5" o:title=""/>
                </v:shape>
              </w:pict>
              <w:t xml:space="preserve"/>
            </w:r>
          </w:p>
        </w:tc>
        <w:tc>
          <w:tcPr>
            <w:shd w:val="clear" w:fill="red"/>
            <w:noWrap/>
          </w:tcPr>
          <w:p>
            <w:pPr/>
            <w:r>
              <w:rPr/>
              <w:t xml:space="preserve"/>
              <w:pict>
                <v:shape type="#_x0000_t75" style="width:100px;height:150px" stroked="f" filled="f">
                  <v:imagedata r:id="rId26" o:title=""/>
                </v:shape>
              </w:pict>
              <w:t xml:space="preserve"/>
            </w:r>
          </w:p>
        </w:tc>
      </w:tr>
      <w:tr>
        <w:trPr/>
        <w:tc>
          <w:tcPr>
            <w:shd w:val="clear" w:fill="orange"/>
            <w:noWrap/>
          </w:tcPr>
          <w:p>
            <w:pPr/>
            <w:r>
              <w:rPr/>
              <w:t xml:space="preserve">VB-1</w:t>
            </w:r>
          </w:p>
        </w:tc>
        <w:tc>
          <w:tcPr>
            <w:shd w:val="clear" w:fill="orange"/>
            <w:noWrap/>
          </w:tcPr>
          <w:p>
            <w:pPr/>
            <w:r>
              <w:rPr/>
              <w:t xml:space="preserve">Wohnzimmer
</w:t>
            </w:r>
          </w:p>
          <w:p>
            <w:pPr/>
            <w:r>
              <w:rPr/>
              <w:t xml:space="preserve">4.OG
</w:t>
            </w:r>
          </w:p>
        </w:tc>
        <w:tc>
          <w:tcPr>
            <w:shd w:val="clear" w:fill="orange"/>
            <w:noWrap/>
          </w:tcPr>
          <w:p>
            <w:pPr/>
            <w:r>
              <w:rPr/>
              <w:t xml:space="preserve">VM-4
</w:t>
            </w:r>
          </w:p>
          <w:p>
            <w:pPr/>
            <w:r>
              <w:rPr/>
              <w:t xml:space="preserve">Fensterkitt
</w:t>
            </w:r>
          </w:p>
          <w:p>
            <w:pPr/>
            <w:r>
              <w:rPr/>
              <w:t xml:space="preserve">Fensterglas
</w:t>
            </w:r>
          </w:p>
        </w:tc>
        <w:tc>
          <w:tcPr>
            <w:shd w:val="clear" w:fill="orange"/>
            <w:noWrap/>
          </w:tcPr>
          <w:p>
            <w:pPr/>
            <w:r>
              <w:rPr/>
              <w:t xml:space="preserve"/>
            </w:r>
          </w:p>
        </w:tc>
        <w:tc>
          <w:tcPr>
            <w:shd w:val="clear" w:fill="orange"/>
            <w:noWrap/>
          </w:tcPr>
          <w:p>
            <w:pPr/>
            <w:r>
              <w:rPr/>
              <w:t xml:space="preserve">Miss N5.jpeg</w:t>
            </w:r>
          </w:p>
        </w:tc>
        <w:tc>
          <w:tcPr>
            <w:shd w:val="clear" w:fill="orange"/>
            <w:noWrap/>
          </w:tcPr>
          <w:p>
            <w:pPr/>
            <w:r>
              <w:rPr/>
              <w:t xml:space="preserve">Miss O5.jpeg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