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
            </w:r>
            <w:bookmarkEnd w:id="1"/>
            <w:r>
              <w:rPr>
                <w:sz w:val="24"/>
                <w:szCs w:val="24"/>
              </w:rPr>
              <w:br/>
            </w:r>
            <w:r>
              <w:rPr>
                <w:sz w:val="24"/>
                <w:szCs w:val="24"/>
              </w:rPr>
              <w:br/>
              <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67</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Mark Honegger</w:t>
            </w:r>
            <w:bookmarkEnd w:id="12"/>
            <w:r>
              <w:rPr>
                <w:sz w:val="24"/>
                <w:szCs w:val="24"/>
              </w:rPr>
              <w:t xml:space="preserve"> </w:t>
            </w:r>
            <w:bookmarkStart w:id="13" w:name="OLE_LINK13"/>
            <w:r>
              <w:rPr>
                <w:sz w:val="24"/>
                <w:szCs w:val="24"/>
              </w:rPr>
              <w:t>044 383 43 07</w:t>
            </w:r>
            <w:bookmarkEnd w:id="13"/>
          </w:p>
          <w:p w:rsidR="0047123B" w:rsidRDefault="0047123B" w:rsidP="004A1ED8">
            <w:pPr>
              <w:widowControl w:val="0"/>
              <w:spacing w:line="240" w:lineRule="auto"/>
              <w:rPr>
                <w:sz w:val="24"/>
                <w:szCs w:val="24"/>
              </w:rPr>
            </w:pPr>
            <w:r>
              <w:rPr>
                <w:sz w:val="24"/>
                <w:szCs w:val="24"/>
              </w:rPr>
              <w:t>mark.honegger@bluewin.ch</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08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b w:val="1"/>
          <w:bCs w:val="1"/>
        </w:rPr>
        <w:t xml:space="preserve"/>
      </w:r>
      <w:r>
        <w:rPr>
          <w:b w:val="1"/>
          <w:bCs w:val="1"/>
        </w:rPr>
        <w:t xml:space="preserve">Empfehlung für den Abschluss Kundenbericht</w:t>
      </w:r>
      <w:r>
        <w:rPr/>
        <w:t xml:space="preserve"/>
      </w:r>
      <w:br/>
      <w:r>
        <w:rPr/>
        <w:t xml:space="preserve"/>
      </w:r>
      <w:br/>
      <w:r>
        <w:rPr/>
        <w:t xml:space="preserve">Basierend auf den bereitgestellten Daten zu den Bauschadstoffvorkommen und den geplanten Sanierungsmaßnahmen empfehle ich die folgenden Schritte für eine effektive und sichere Schadstoffsanierung:</w:t>
      </w:r>
      <w:br/>
      <w:r>
        <w:rPr/>
        <w:t xml:space="preserve"/>
      </w:r>
      <w:br/>
      <w:r>
        <w:rPr>
          <w:b w:val="1"/>
          <w:bCs w:val="1"/>
        </w:rPr>
        <w:t xml:space="preserve">1. </w:t>
      </w:r>
      <w:r>
        <w:rPr>
          <w:b w:val="1"/>
          <w:bCs w:val="1"/>
        </w:rPr>
        <w:t xml:space="preserve">Identifizierung und Priorisierung der Schadstoffe:</w:t>
      </w:r>
      <w:r>
        <w:rPr/>
        <w:t xml:space="preserve"/>
      </w:r>
      <w:br/>
      <w:r>
        <w:rPr/>
        <w:t xml:space="preserve">   - In der Übersicht der Bauschadstoffvorkommen sollten zunächst alle identifizierten Schadstoffe sorgfältig dokumentiert und bewertet werden. Schadstoffe, die als besonders gefährlich gelten, wie Asbest oder PCB, sollten höchste Priorität bei der Sanierung haben.</w:t>
      </w:r>
      <w:br/>
      <w:r>
        <w:rPr/>
        <w:t xml:space="preserve"/>
      </w:r>
      <w:br/>
      <w:r>
        <w:rPr>
          <w:b w:val="1"/>
          <w:bCs w:val="1"/>
        </w:rPr>
        <w:t xml:space="preserve">2. </w:t>
      </w:r>
      <w:r>
        <w:rPr>
          <w:b w:val="1"/>
          <w:bCs w:val="1"/>
        </w:rPr>
        <w:t xml:space="preserve">Sanierung durch fachkundige Schadstoffsanierer:</w:t>
      </w:r>
      <w:r>
        <w:rPr/>
        <w:t xml:space="preserve"/>
      </w:r>
      <w:br/>
      <w:r>
        <w:rPr/>
        <w:t xml:space="preserve">   - Die Tabelle 8.1 listet die Sanierungsmaßnahmen auf, die von spezialisierten Schadstoffsanierern durchgeführt werden sollen. Dies sollte für Materialien und Proben erfolgen, die komplexere oder gefährlichere Schadstoffe umfassen. Die genannten Richtlinien und LVA Codes sollten strikt eingehalten werden, um sicherzustellen, dass die Sanierung den gesetzlichen und sicherheitstechnischen Anforderungen entspricht.</w:t>
      </w:r>
      <w:br/>
      <w:r>
        <w:rPr/>
        <w:t xml:space="preserve"/>
      </w:r>
      <w:br/>
      <w:r>
        <w:rPr>
          <w:b w:val="1"/>
          <w:bCs w:val="1"/>
        </w:rPr>
        <w:t xml:space="preserve">3. </w:t>
      </w:r>
      <w:r>
        <w:rPr>
          <w:b w:val="1"/>
          <w:bCs w:val="1"/>
        </w:rPr>
        <w:t xml:space="preserve">Sanierung durch instruierte Handwerker:</w:t>
      </w:r>
      <w:r>
        <w:rPr/>
        <w:t xml:space="preserve"/>
      </w:r>
      <w:br/>
      <w:r>
        <w:rPr/>
        <w:t xml:space="preserve">   - Tabelle 8.2 beschreibt die Aufgaben, die instruierte Handwerker übernehmen können. Dies umfasst in der Regel Materialien mit geringem Risiko oder einfachen Schadstoffen. Eine detaillierte Einweisung der Handwerker ist essenziell, um jede mögliche Gefährdung zu minimieren. Auch hier sollten die angegebenen Richtlinien und LVA Codes befolgt werden.</w:t>
      </w:r>
      <w:br/>
      <w:r>
        <w:rPr/>
        <w:t xml:space="preserve"/>
      </w:r>
      <w:br/>
      <w:r>
        <w:rPr>
          <w:b w:val="1"/>
          <w:bCs w:val="1"/>
        </w:rPr>
        <w:t xml:space="preserve">4. </w:t>
      </w:r>
      <w:r>
        <w:rPr>
          <w:b w:val="1"/>
          <w:bCs w:val="1"/>
        </w:rPr>
        <w:t xml:space="preserve">Kommunikation und Überwachung:</w:t>
      </w:r>
      <w:r>
        <w:rPr/>
        <w:t xml:space="preserve"/>
      </w:r>
      <w:br/>
      <w:r>
        <w:rPr/>
        <w:t xml:space="preserve">   - Eine laufende Kommunikation zwischen den beteiligten Parteien (Schadstoffsanierer, Handwerker und Aufsichtspersonal) ist entscheidend, um den Fortschritt zu überwachen und sicherzustellen, dass alle Maßnahmen gemäß den Standards und Rechtssicher durchgeführt werden.</w:t>
      </w:r>
      <w:br/>
      <w:r>
        <w:rPr/>
        <w:t xml:space="preserve"/>
      </w:r>
      <w:br/>
      <w:r>
        <w:rPr>
          <w:b w:val="1"/>
          <w:bCs w:val="1"/>
        </w:rPr>
        <w:t xml:space="preserve">5. </w:t>
      </w:r>
      <w:r>
        <w:rPr>
          <w:b w:val="1"/>
          <w:bCs w:val="1"/>
        </w:rPr>
        <w:t xml:space="preserve">Abschlussbewertung und Dokumentation:</w:t>
      </w:r>
      <w:r>
        <w:rPr/>
        <w:t xml:space="preserve"/>
      </w:r>
      <w:br/>
      <w:r>
        <w:rPr/>
        <w:t xml:space="preserve">   - Nach Abschluss der Sanierungsarbeiten sollte eine umfassende Bewertung der durchgeführten Maßnahmen erfolgen, um deren Wirksamkeit zu bestätigen. Dokumentiert werden müssen alle Schritte der Sanierung sowie die finalen Schadstoffwerte, um die Sicherheit der rekonstituierten Bereiche zu garantieren.</w:t>
      </w:r>
      <w:br/>
      <w:r>
        <w:rPr/>
        <w:t xml:space="preserve"/>
      </w:r>
      <w:br/>
      <w:r>
        <w:rPr/>
        <w:t xml:space="preserve">Durch diese systematische Vorgehensweise kann die Gesundheit der Gebäudenutzer gewahrt und ein sicherer Abschluss der Renovierungsarbeiten gewährleistet werden.</w:t>
      </w:r>
      <w:br/>
    </w:p>
    <w:p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3568DE" w:rsidRPr="008824DE" w:rsidRDefault="003568DE" w:rsidP="003568DE">
      <w:pPr>
        <w:spacing w:line="240" w:lineRule="auto"/>
        <w:rPr>
          <w:sz w:val="24"/>
          <w:szCs w:val="24"/>
        </w:rPr>
      </w:pPr>
      <w:bookmarkStart w:id="37" w:name="OLE_LINK2"/>
      <w:r>
        <w:rPr>
          <w:rFonts w:ascii="Calibri" w:eastAsia="Calibri" w:hAnsi="Calibri" w:cs="Calibri"/>
          <w:b/>
          <w:color w:val="2F5496"/>
          <w:sz w:val="32"/>
          <w:szCs w:val="32"/>
        </w:rPr>
        <w:lastRenderedPageBreak/>
        <w:t>Zusätzliche Beigaben</w:t>
      </w:r>
    </w:p>
    <w:p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Badezimmer
</w:t>
            </w:r>
          </w:p>
          <w:p>
            <w:pPr/>
            <w:r>
              <w:rPr/>
              <w:t xml:space="preserve">OG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3" o:title=""/>
                </v:shape>
              </w:pict>
              <w:t xml:space="preserve"/>
            </w:r>
          </w:p>
        </w:tc>
        <w:tc>
          <w:tcPr>
            <w:noWrap/>
          </w:tcPr>
          <w:p>
            <w:pPr/>
            <w:r>
              <w:rPr/>
              <w:t xml:space="preserve"/>
              <w:pict>
                <v:shape type="#_x0000_t75" style="width:100px;height:150px" stroked="f" filled="f">
                  <v:imagedata r:id="rId14" o:title=""/>
                </v:shape>
              </w:pict>
              <w:t xml:space="preserve"/>
            </w:r>
          </w:p>
        </w:tc>
      </w:tr>
      <w:tr>
        <w:trPr/>
        <w:tc>
          <w:tcPr>
            <w:shd w:val="clear"/>
            <w:noWrap/>
          </w:tcPr>
          <w:p>
            <w:pPr/>
            <w:r>
              <w:rPr/>
              <w:t xml:space="preserve">MaP-2</w:t>
            </w:r>
          </w:p>
        </w:tc>
        <w:tc>
          <w:tcPr>
            <w:noWrap/>
          </w:tcPr>
          <w:p>
            <w:pPr/>
            <w:r>
              <w:rPr/>
              <w:t xml:space="preserve">Badezimmer
</w:t>
            </w:r>
          </w:p>
          <w:p>
            <w:pPr/>
            <w:r>
              <w:rPr/>
              <w:t xml:space="preserve">OG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MaP-3</w:t>
            </w:r>
          </w:p>
        </w:tc>
        <w:tc>
          <w:tcPr>
            <w:noWrap/>
          </w:tcPr>
          <w:p>
            <w:pPr/>
            <w:r>
              <w:rPr/>
              <w:t xml:space="preserve">Badezimmer
</w:t>
            </w:r>
          </w:p>
          <w:p>
            <w:pPr/>
            <w:r>
              <w:rPr/>
              <w:t xml:space="preserve">OG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MaP-4</w:t>
            </w:r>
          </w:p>
        </w:tc>
        <w:tc>
          <w:tcPr>
            <w:noWrap/>
          </w:tcPr>
          <w:p>
            <w:pPr/>
            <w:r>
              <w:rPr/>
              <w:t xml:space="preserve">Badezimmer
</w:t>
            </w:r>
          </w:p>
          <w:p>
            <w:pPr/>
            <w:r>
              <w:rPr/>
              <w:t xml:space="preserve">OG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MaP-5</w:t>
            </w:r>
          </w:p>
        </w:tc>
        <w:tc>
          <w:tcPr>
            <w:noWrap/>
          </w:tcPr>
          <w:p>
            <w:pPr/>
            <w:r>
              <w:rPr/>
              <w:t xml:space="preserve">Treppenhaus Gang
</w:t>
            </w:r>
          </w:p>
          <w:p>
            <w:pPr/>
            <w:r>
              <w:rPr/>
              <w:t xml:space="preserve">EG/ OG / DG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MaP-6</w:t>
            </w:r>
          </w:p>
        </w:tc>
        <w:tc>
          <w:tcPr>
            <w:noWrap/>
          </w:tcPr>
          <w:p>
            <w:pPr/>
            <w:r>
              <w:rPr/>
              <w:t xml:space="preserve">Treppenhaus Gang
</w:t>
            </w:r>
          </w:p>
          <w:p>
            <w:pPr/>
            <w:r>
              <w:rPr/>
              <w:t xml:space="preserve">EG/ OG / DG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MaP-7</w:t>
            </w:r>
          </w:p>
        </w:tc>
        <w:tc>
          <w:tcPr>
            <w:noWrap/>
          </w:tcPr>
          <w:p>
            <w:pPr/>
            <w:r>
              <w:rPr/>
              <w:t xml:space="preserve">Gang / Schlafzimmer
</w:t>
            </w:r>
          </w:p>
          <w:p>
            <w:pPr/>
            <w:r>
              <w:rPr/>
              <w:t xml:space="preserve">DG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MaP-8</w:t>
            </w:r>
          </w:p>
        </w:tc>
        <w:tc>
          <w:tcPr>
            <w:noWrap/>
          </w:tcPr>
          <w:p>
            <w:pPr/>
            <w:r>
              <w:rPr/>
              <w:t xml:space="preserve">Wohnzimmer
</w:t>
            </w:r>
          </w:p>
          <w:p>
            <w:pPr/>
            <w:r>
              <w:rPr/>
              <w:t xml:space="preserve">EG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MaP-9</w:t>
            </w:r>
          </w:p>
        </w:tc>
        <w:tc>
          <w:tcPr>
            <w:noWrap/>
          </w:tcPr>
          <w:p>
            <w:pPr/>
            <w:r>
              <w:rPr/>
              <w:t xml:space="preserve">Wohnzimmer
</w:t>
            </w:r>
          </w:p>
          <w:p>
            <w:pPr/>
            <w:r>
              <w:rPr/>
              <w:t xml:space="preserve">EG
</w:t>
            </w:r>
          </w:p>
        </w:tc>
        <w:tc>
          <w:tcPr>
            <w:noWrap/>
          </w:tcPr>
          <w:p>
            <w:pPr/>
            <w:r>
              <w:rPr/>
              <w:t xml:space="preserve">VM-9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MaP-10</w:t>
            </w:r>
          </w:p>
        </w:tc>
        <w:tc>
          <w:tcPr>
            <w:noWrap/>
          </w:tcPr>
          <w:p>
            <w:pPr/>
            <w:r>
              <w:rPr/>
              <w:t xml:space="preserve">Heizraum
</w:t>
            </w:r>
          </w:p>
          <w:p>
            <w:pPr/>
            <w:r>
              <w:rPr/>
              <w:t xml:space="preserve">UG
</w:t>
            </w:r>
          </w:p>
        </w:tc>
        <w:tc>
          <w:tcPr>
            <w:noWrap/>
          </w:tcPr>
          <w:p>
            <w:pPr/>
            <w:r>
              <w:rPr/>
              <w:t xml:space="preserve">VM-10
</w:t>
            </w:r>
          </w:p>
          <w:p>
            <w:pPr/>
            <w:r>
              <w:rPr/>
              <w:t xml:space="preserve">technisches Textil
</w:t>
            </w:r>
          </w:p>
          <w:p>
            <w:pPr/>
            <w:r>
              <w:rPr/>
              <w:t xml:space="preserve">Rohrummantellung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bl>
    <w:p w:rsidR="009641C4" w:rsidRDefault="009641C4">
      <w:pPr>
        <w:rPr>
          <w:sz w:val="24"/>
          <w:szCs w:val="24"/>
        </w:rPr>
      </w:pPr>
      <w:r>
        <w:rPr>
          <w:sz w:val="24"/>
          <w:szCs w:val="24"/>
        </w:rPr>
        <w:br w:type="page"/>
      </w: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7"/>
    </w:p>
    <w:p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4B15" w:rsidRDefault="006F4B15">
      <w:pPr>
        <w:spacing w:line="240" w:lineRule="auto"/>
      </w:pPr>
      <w:r>
        <w:separator/>
      </w:r>
    </w:p>
  </w:endnote>
  <w:endnote w:type="continuationSeparator" w:id="0">
    <w:p w:rsidR="006F4B15" w:rsidRDefault="006F4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4B15" w:rsidRDefault="006F4B15">
      <w:pPr>
        <w:spacing w:line="240" w:lineRule="auto"/>
      </w:pPr>
      <w:r>
        <w:separator/>
      </w:r>
    </w:p>
  </w:footnote>
  <w:footnote w:type="continuationSeparator" w:id="0">
    <w:p w:rsidR="006F4B15" w:rsidRDefault="006F4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431D24"/>
    <w:rsid w:val="0047123B"/>
    <w:rsid w:val="004C7A30"/>
    <w:rsid w:val="004F3F84"/>
    <w:rsid w:val="0050786D"/>
    <w:rsid w:val="00517E33"/>
    <w:rsid w:val="00543DEA"/>
    <w:rsid w:val="00586ED7"/>
    <w:rsid w:val="0062329B"/>
    <w:rsid w:val="006F4B15"/>
    <w:rsid w:val="00706F97"/>
    <w:rsid w:val="0075688F"/>
    <w:rsid w:val="007F0642"/>
    <w:rsid w:val="008824DE"/>
    <w:rsid w:val="008A5A24"/>
    <w:rsid w:val="008D7176"/>
    <w:rsid w:val="00952054"/>
    <w:rsid w:val="009641C4"/>
    <w:rsid w:val="00991B2D"/>
    <w:rsid w:val="009C7A42"/>
    <w:rsid w:val="009F38C7"/>
    <w:rsid w:val="00A40263"/>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5B91"/>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48</cp:revision>
  <dcterms:created xsi:type="dcterms:W3CDTF">2024-12-20T12:00:00Z</dcterms:created>
  <dcterms:modified xsi:type="dcterms:W3CDTF">2025-01-08T01:51:00Z</dcterms:modified>
</cp:coreProperties>
</file>