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Zopfstrasse 18, 8965 Berikon</w:t>
            </w:r>
            <w:bookmarkEnd w:id="1"/>
            <w:r>
              <w:rPr>
                <w:sz w:val="24"/>
                <w:szCs w:val="24"/>
              </w:rPr>
              <w:br/>
            </w:r>
            <w:r>
              <w:rPr>
                <w:sz w:val="24"/>
                <w:szCs w:val="24"/>
              </w:rPr>
              <w:br/>
              <w:t>132</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66</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Natalie Leinweber</w:t>
            </w:r>
            <w:bookmarkEnd w:id="12"/>
            <w:r>
              <w:rPr>
                <w:sz w:val="24"/>
                <w:szCs w:val="24"/>
              </w:rPr>
              <w:t xml:space="preserve"> </w:t>
            </w:r>
            <w:bookmarkStart w:id="13" w:name="OLE_LINK13"/>
            <w:r>
              <w:rPr>
                <w:sz w:val="24"/>
                <w:szCs w:val="24"/>
              </w:rPr>
              <w:t>0764320696</w:t>
            </w:r>
            <w:bookmarkEnd w:id="13"/>
          </w:p>
          <w:p w:rsidR="0047123B" w:rsidRDefault="0047123B" w:rsidP="004A1ED8">
            <w:pPr>
              <w:widowControl w:val="0"/>
              <w:spacing w:line="240" w:lineRule="auto"/>
              <w:rPr>
                <w:sz w:val="24"/>
                <w:szCs w:val="24"/>
              </w:rPr>
            </w:pPr>
            <w:r>
              <w:rPr>
                <w:sz w:val="24"/>
                <w:szCs w:val="24"/>
              </w:rPr>
              <w:t>natalie.leinweber@hotmail.com</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03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MaP-13</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Keller
</w:t>
            </w:r>
          </w:p>
          <w:p>
            <w:pPr/>
            <w:r>
              <w:rPr/>
              <w:t xml:space="preserve">UG
</w:t>
            </w:r>
          </w:p>
          <w:p>
            <w:pPr/>
            <w:r>
              <w:rPr/>
              <w:t xml:space="preserve">Decke
</w:t>
            </w:r>
          </w:p>
        </w:tc>
        <w:tc>
          <w:tcPr>
            <w:noWrap/>
          </w:tcPr>
          <w:p>
            <w:pPr/>
            <w:r>
              <w:rPr/>
              <w:t xml:space="preserve">Decke</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MaP-13</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33041</w:t>
            </w:r>
          </w:p>
        </w:tc>
        <w:tc>
          <w:tcPr>
            <w:noWrap/>
          </w:tcPr>
          <w:p>
            <w:pPr/>
            <w:r>
              <w:rPr/>
              <w:t xml:space="preserve">17 06 98 nk</w:t>
            </w:r>
          </w:p>
        </w:tc>
      </w:tr>
      <w:tr>
        <w:trPr/>
        <w:tc>
          <w:tcPr>
            <w:shd w:val="clear" w:fill="yellow"/>
            <w:noWrap/>
          </w:tcPr>
          <w:p>
            <w:pPr/>
            <w:r>
              <w:rPr/>
              <w:t xml:space="preserve">VB-1</w:t>
            </w:r>
          </w:p>
        </w:tc>
        <w:tc>
          <w:tcPr>
            <w:noWrap/>
          </w:tcPr>
          <w:p>
            <w:pPr/>
            <w:r>
              <w:rPr/>
              <w:t xml:space="preserve">Asbestkarton</w:t>
            </w:r>
          </w:p>
        </w:tc>
        <w:tc>
          <w:tcPr>
            <w:noWrap/>
          </w:tcPr>
          <w:p>
            <w:pPr/>
            <w:r>
              <w:rPr/>
              <w:t xml:space="preserve">1</w:t>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VB-2</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MaP-13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Basierend auf den vorliegenden Daten empfehlen wir folgende Maßnahmen für die Schadstoffsanierung:</w:t>
      </w:r>
      <w:br/>
      <w:r>
        <w:rPr/>
        <w:t xml:space="preserve"/>
      </w:r>
      <w:br/>
      <w:r>
        <w:rPr>
          <w:b w:val="1"/>
          <w:bCs w:val="1"/>
        </w:rPr>
        <w:t xml:space="preserve">1. </w:t>
      </w:r>
      <w:r>
        <w:rPr>
          <w:b w:val="1"/>
          <w:bCs w:val="1"/>
        </w:rPr>
        <w:t xml:space="preserve">Asbest in elastischen Bodenbelägen (MaP-13) in der Küche im Erdgeschoss:</w:t>
      </w:r>
      <w:r>
        <w:rPr/>
        <w:t xml:space="preserve"/>
      </w:r>
      <w:br/>
      <w:r>
        <w:rPr/>
        <w:t xml:space="preserve">   Die Probe MaP-13 wurde positiv auf Asbest in elastischen Bodenbelägen getestet. Aufgrund der potenziellen Gesundheitsrisiken, die von Asbest ausgehen, ist eine Sanierung angezeigt, die gemäß den Richtlinien durch instruierte Handwerker erfolgen soll. Die gezogene Menge von 6 Einheiten muss unter Einhaltung der entsprechenden Sicherheitsmaßnahmen (LVA Code 17 06 98 nk) entfernt und entsorgt werden.</w:t>
      </w:r>
      <w:br/>
      <w:r>
        <w:rPr/>
        <w:t xml:space="preserve"/>
      </w:r>
      <w:br/>
      <w:r>
        <w:rPr>
          <w:b w:val="1"/>
          <w:bCs w:val="1"/>
        </w:rPr>
        <w:t xml:space="preserve">2. </w:t>
      </w:r>
      <w:r>
        <w:rPr>
          <w:b w:val="1"/>
          <w:bCs w:val="1"/>
        </w:rPr>
        <w:t xml:space="preserve">Asbestkarton an der Decke (VB-1) im Keller:</w:t>
      </w:r>
      <w:r>
        <w:rPr/>
        <w:t xml:space="preserve"/>
      </w:r>
      <w:br/>
      <w:r>
        <w:rPr/>
        <w:t xml:space="preserve">   Die Probe VB-1 zeigt das Vorkommen von Asbest in der Decke des Kellers an. Hier ist ebenfalls eine umgehende Sanierung notwendig. Die Entfernung der erfassten 1 Einheit sollte durch erfahrene Handwerker erfolgen, um die Exposition gegenüber Asbestfasern zu minimieren. Hierfür ist der LVA Code 17 06 05 S anzuwenden, was die Notwendigkeit spezieller Schutzmaßnahmen unterstreicht.</w:t>
      </w:r>
      <w:br/>
      <w:r>
        <w:rPr/>
        <w:t xml:space="preserve"/>
      </w:r>
      <w:br/>
      <w:r>
        <w:rPr>
          <w:b w:val="1"/>
          <w:bCs w:val="1"/>
        </w:rPr>
        <w:t xml:space="preserve">3. </w:t>
      </w:r>
      <w:r>
        <w:rPr>
          <w:b w:val="1"/>
          <w:bCs w:val="1"/>
        </w:rPr>
        <w:t xml:space="preserve">Faserzement im Elektrotableau (VB-2) im Keller:</w:t>
      </w:r>
      <w:r>
        <w:rPr/>
        <w:t xml:space="preserve"/>
      </w:r>
      <w:br/>
      <w:r>
        <w:rPr/>
        <w:t xml:space="preserve">   Die Probe VB-2 identifiziert das Vorhandensein von asbesthaltigem Faserzement. Auch hier wird eine Entfernung durch instruierte Handwerker empfohlen, wobei 1 Einheit unter Beachtung der Sicherheitsvorgaben (LVA Code 17 06 98 nk) saniert werden muss.</w:t>
      </w:r>
      <w:br/>
      <w:r>
        <w:rPr/>
        <w:t xml:space="preserve"/>
      </w:r>
      <w:br/>
      <w:r>
        <w:rPr/>
        <w:t xml:space="preserve">In allen Fällen ist die Berücksichtigung der DKS (Dichtheit, Kontrolle, Sicherheit) mit der Stufe 3 unabdingbar, um sicherzustellen, dass keine lebensgefährdenden Asbestfasern freigesetzt werden. Weiterhin empfehlen wir, dass alle Sanierungsmaßnahmen strukturiert und gründlich dokumentiert werden, um sowohl den gesetzlichen Anforderungen zu genügen als auch zukünftige Gebäudeanalysen zu erleichtern. Eine Nachkontrolle nach Abschluss der Sanierung sollte ebenfalls eingeplant werden, um eine restlose Entfernung der identifizierten Schadstoffe zu gewährleisten.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DG
</w:t>
            </w:r>
          </w:p>
        </w:tc>
        <w:tc>
          <w:tcPr>
            <w:noWrap/>
          </w:tcPr>
          <w:p>
            <w:pPr/>
            <w:r>
              <w:rPr/>
              <w:t xml:space="preserve">VM-15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Gang, Treppenhaus
</w:t>
            </w:r>
          </w:p>
          <w:p>
            <w:pPr/>
            <w:r>
              <w:rPr/>
              <w:t xml:space="preserve">DG
</w:t>
            </w:r>
          </w:p>
        </w:tc>
        <w:tc>
          <w:tcPr>
            <w:noWrap/>
          </w:tcPr>
          <w:p>
            <w:pPr/>
            <w:r>
              <w:rPr/>
              <w:t xml:space="preserve">VM-16
</w:t>
            </w:r>
          </w:p>
          <w:p>
            <w:pPr/>
            <w:r>
              <w:rPr/>
              <w:t xml:space="preserve">(elastische) Bodenbeläge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Gang, Treppenhaus
</w:t>
            </w:r>
          </w:p>
          <w:p>
            <w:pPr/>
            <w:r>
              <w:rPr/>
              <w:t xml:space="preserve">DG
</w:t>
            </w:r>
          </w:p>
        </w:tc>
        <w:tc>
          <w:tcPr>
            <w:noWrap/>
          </w:tcPr>
          <w:p>
            <w:pPr/>
            <w:r>
              <w:rPr/>
              <w:t xml:space="preserve">VM-17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Bad
</w:t>
            </w:r>
          </w:p>
          <w:p>
            <w:pPr/>
            <w:r>
              <w:rPr/>
              <w:t xml:space="preserve">OG
</w:t>
            </w:r>
          </w:p>
        </w:tc>
        <w:tc>
          <w:tcPr>
            <w:noWrap/>
          </w:tcPr>
          <w:p>
            <w:pPr/>
            <w:r>
              <w:rPr/>
              <w:t xml:space="preserve">VM-1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Bad
</w:t>
            </w:r>
          </w:p>
          <w:p>
            <w:pPr/>
            <w:r>
              <w:rPr/>
              <w:t xml:space="preserve">OG
</w:t>
            </w:r>
          </w:p>
        </w:tc>
        <w:tc>
          <w:tcPr>
            <w:noWrap/>
          </w:tcPr>
          <w:p>
            <w:pPr/>
            <w:r>
              <w:rPr/>
              <w:t xml:space="preserve">VM-2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Gang, Treppenhaus
</w:t>
            </w:r>
          </w:p>
          <w:p>
            <w:pPr/>
            <w:r>
              <w:rPr/>
              <w:t xml:space="preserve">OG
</w:t>
            </w:r>
          </w:p>
        </w:tc>
        <w:tc>
          <w:tcPr>
            <w:noWrap/>
          </w:tcPr>
          <w:p>
            <w:pPr/>
            <w:r>
              <w:rPr/>
              <w:t xml:space="preserve">VM-3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Gang, Treppenhaus
</w:t>
            </w:r>
          </w:p>
          <w:p>
            <w:pPr/>
            <w:r>
              <w:rPr/>
              <w:t xml:space="preserve">OG
</w:t>
            </w:r>
          </w:p>
        </w:tc>
        <w:tc>
          <w:tcPr>
            <w:noWrap/>
          </w:tcPr>
          <w:p>
            <w:pPr/>
            <w:r>
              <w:rPr/>
              <w:t xml:space="preserve">VM-4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alle Schlafzimmer/ Gang / Bad
</w:t>
            </w:r>
          </w:p>
          <w:p>
            <w:pPr/>
            <w:r>
              <w:rPr/>
              <w:t xml:space="preserve">OG
</w:t>
            </w:r>
          </w:p>
        </w:tc>
        <w:tc>
          <w:tcPr>
            <w:noWrap/>
          </w:tcPr>
          <w:p>
            <w:pPr/>
            <w:r>
              <w:rPr/>
              <w:t xml:space="preserve">VM-5
</w:t>
            </w:r>
          </w:p>
          <w:p>
            <w:pPr/>
            <w:r>
              <w:rPr/>
              <w:t xml:space="preserve">(elastische) Bodenbeläge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Saal
</w:t>
            </w:r>
          </w:p>
          <w:p>
            <w:pPr/>
            <w:r>
              <w:rPr/>
              <w:t xml:space="preserve">OG
</w:t>
            </w:r>
          </w:p>
        </w:tc>
        <w:tc>
          <w:tcPr>
            <w:noWrap/>
          </w:tcPr>
          <w:p>
            <w:pPr/>
            <w:r>
              <w:rPr/>
              <w:t xml:space="preserve">VM-6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WC
</w:t>
            </w:r>
          </w:p>
          <w:p>
            <w:pPr/>
            <w:r>
              <w:rPr/>
              <w:t xml:space="preserve">EG
</w:t>
            </w:r>
          </w:p>
        </w:tc>
        <w:tc>
          <w:tcPr>
            <w:noWrap/>
          </w:tcPr>
          <w:p>
            <w:pPr/>
            <w:r>
              <w:rPr/>
              <w:t xml:space="preserve">VM-7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tc>
        <w:tc>
          <w:tcPr>
            <w:noWrap/>
          </w:tcPr>
          <w:p>
            <w:pPr/>
            <w:r>
              <w:rPr/>
              <w:t xml:space="preserve">VM-9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tc>
        <w:tc>
          <w:tcPr>
            <w:noWrap/>
          </w:tcPr>
          <w:p>
            <w:pPr/>
            <w:r>
              <w:rPr/>
              <w:t xml:space="preserve">VM-10
</w:t>
            </w:r>
          </w:p>
          <w:p>
            <w:pPr/>
            <w:r>
              <w:rPr/>
              <w:t xml:space="preserve">(elastische) Bodenbeläge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Ganzes Haus
</w:t>
            </w:r>
          </w:p>
          <w:p>
            <w:pPr/>
            <w:r>
              <w:rPr/>
              <w:t xml:space="preserve">DG, OG, EG, UG
</w:t>
            </w:r>
          </w:p>
        </w:tc>
        <w:tc>
          <w:tcPr>
            <w:noWrap/>
          </w:tcPr>
          <w:p>
            <w:pPr/>
            <w:r>
              <w:rPr/>
              <w:t xml:space="preserve">VM-11
</w:t>
            </w:r>
          </w:p>
          <w:p>
            <w:pPr/>
            <w:r>
              <w:rPr/>
              <w:t xml:space="preserve">Fensterkitt
</w:t>
            </w:r>
          </w:p>
          <w:p>
            <w:pPr/>
            <w:r>
              <w:rPr/>
              <w:t xml:space="preserve">Fenster
</w:t>
            </w:r>
          </w:p>
          <w:p>
            <w:pPr/>
            <w:r>
              <w:rPr/>
              <w:t xml:space="preserv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Heizraum
</w:t>
            </w:r>
          </w:p>
          <w:p>
            <w:pPr/>
            <w:r>
              <w:rPr/>
              <w:t xml:space="preserve">EG
</w:t>
            </w:r>
          </w:p>
        </w:tc>
        <w:tc>
          <w:tcPr>
            <w:noWrap/>
          </w:tcPr>
          <w:p>
            <w:pPr/>
            <w:r>
              <w:rPr/>
              <w:t xml:space="preserve">VM-12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Gang / ,Entree
</w:t>
            </w:r>
          </w:p>
          <w:p>
            <w:pPr/>
            <w:r>
              <w:rPr/>
              <w:t xml:space="preserve">EG
</w:t>
            </w:r>
          </w:p>
        </w:tc>
        <w:tc>
          <w:tcPr>
            <w:noWrap/>
          </w:tcPr>
          <w:p>
            <w:pPr/>
            <w:r>
              <w:rPr/>
              <w:t xml:space="preserve">VM-13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Terrasse
</w:t>
            </w:r>
          </w:p>
          <w:p>
            <w:pPr/>
            <w:r>
              <w:rPr/>
              <w:t xml:space="preserve">EG
</w:t>
            </w:r>
          </w:p>
        </w:tc>
        <w:tc>
          <w:tcPr>
            <w:noWrap/>
          </w:tcPr>
          <w:p>
            <w:pPr/>
            <w:r>
              <w:rPr/>
              <w:t xml:space="preserve">VM-14
</w:t>
            </w:r>
          </w:p>
          <w:p>
            <w:pPr/>
            <w:r>
              <w:rPr/>
              <w:t xml:space="preserve">Holzwolle-Lauchtbauplatte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Keller
</w:t>
            </w:r>
          </w:p>
          <w:p>
            <w:pPr/>
            <w:r>
              <w:rPr/>
              <w:t xml:space="preserve">UG
</w:t>
            </w:r>
          </w:p>
        </w:tc>
        <w:tc>
          <w:tcPr>
            <w:noWrap/>
          </w:tcPr>
          <w:p>
            <w:pPr/>
            <w:r>
              <w:rPr/>
              <w:t xml:space="preserve">VM-18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MaP-19</w:t>
            </w:r>
          </w:p>
        </w:tc>
        <w:tc>
          <w:tcPr>
            <w:noWrap/>
          </w:tcPr>
          <w:p>
            <w:pPr/>
            <w:r>
              <w:rPr/>
              <w:t xml:space="preserve">Keller
</w:t>
            </w:r>
          </w:p>
          <w:p>
            <w:pPr/>
            <w:r>
              <w:rPr/>
              <w:t xml:space="preserve">UG
</w:t>
            </w:r>
          </w:p>
        </w:tc>
        <w:tc>
          <w:tcPr>
            <w:noWrap/>
          </w:tcPr>
          <w:p>
            <w:pPr/>
            <w:r>
              <w:rPr/>
              <w:t xml:space="preserve">VM-19
</w:t>
            </w:r>
          </w:p>
          <w:p>
            <w:pPr/>
            <w:r>
              <w:rPr/>
              <w:t xml:space="preserve">technisches Textil
</w:t>
            </w:r>
          </w:p>
          <w:p>
            <w:pPr/>
            <w:r>
              <w:rPr/>
              <w:t xml:space="preserve">Rohrbandagen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MaP-20</w:t>
            </w:r>
          </w:p>
        </w:tc>
        <w:tc>
          <w:tcPr>
            <w:noWrap/>
          </w:tcPr>
          <w:p>
            <w:pPr/>
            <w:r>
              <w:rPr/>
              <w:t xml:space="preserve">Garage
</w:t>
            </w:r>
          </w:p>
          <w:p>
            <w:pPr/>
            <w:r>
              <w:rPr/>
              <w:t xml:space="preserve">EG
</w:t>
            </w:r>
          </w:p>
        </w:tc>
        <w:tc>
          <w:tcPr>
            <w:noWrap/>
          </w:tcPr>
          <w:p>
            <w:pPr/>
            <w:r>
              <w:rPr/>
              <w:t xml:space="preserve">VM-22
</w:t>
            </w:r>
          </w:p>
          <w:p>
            <w:pPr/>
            <w:r>
              <w:rPr/>
              <w:t xml:space="preserve">Putz
</w:t>
            </w:r>
          </w:p>
          <w:p>
            <w:pPr/>
            <w:r>
              <w:rPr/>
              <w:t xml:space="preserve">Wand / 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VB-1</w:t>
            </w:r>
          </w:p>
        </w:tc>
        <w:tc>
          <w:tcPr>
            <w:noWrap/>
          </w:tcPr>
          <w:p>
            <w:pPr/>
            <w:r>
              <w:rPr/>
              <w:t xml:space="preserve">Keller
</w:t>
            </w:r>
          </w:p>
          <w:p>
            <w:pPr/>
            <w:r>
              <w:rPr/>
              <w:t xml:space="preserve">UG
</w:t>
            </w:r>
          </w:p>
        </w:tc>
        <w:tc>
          <w:tcPr>
            <w:noWrap/>
          </w:tcPr>
          <w:p>
            <w:pPr/>
            <w:r>
              <w:rPr/>
              <w:t xml:space="preserve">VM-20
</w:t>
            </w:r>
          </w:p>
          <w:p>
            <w:pPr/>
            <w:r>
              <w:rPr/>
              <w:t xml:space="preserve">Asbestkarton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VB-2</w:t>
            </w:r>
          </w:p>
        </w:tc>
        <w:tc>
          <w:tcPr>
            <w:noWrap/>
          </w:tcPr>
          <w:p>
            <w:pPr/>
            <w:r>
              <w:rPr/>
              <w:t xml:space="preserve">Keller
</w:t>
            </w:r>
          </w:p>
          <w:p>
            <w:pPr/>
            <w:r>
              <w:rPr/>
              <w:t xml:space="preserve">UG
</w:t>
            </w:r>
          </w:p>
        </w:tc>
        <w:tc>
          <w:tcPr>
            <w:noWrap/>
          </w:tcPr>
          <w:p>
            <w:pPr/>
            <w:r>
              <w:rPr/>
              <w:t xml:space="preserve">VM-21
</w:t>
            </w:r>
          </w:p>
          <w:p>
            <w:pPr/>
            <w:r>
              <w:rPr/>
              <w:t xml:space="preserve">Faserzement
</w:t>
            </w:r>
          </w:p>
          <w:p>
            <w:pPr/>
            <w:r>
              <w:rPr/>
              <w:t xml:space="preserve">Elektrotableau
</w:t>
            </w:r>
          </w:p>
          <w:p>
            <w:pPr/>
            <w:r>
              <w:rPr/>
              <w:t xml:space="preserve">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pict>
          <v:shape type="#_x0000_t75" style="width:1000px;height:706.96893366919px" stroked="f" filled="f">
            <v:imagedata r:id="rId18"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68E2" w:rsidRDefault="001068E2">
      <w:pPr>
        <w:spacing w:line="240" w:lineRule="auto"/>
      </w:pPr>
      <w:r>
        <w:separator/>
      </w:r>
    </w:p>
  </w:endnote>
  <w:endnote w:type="continuationSeparator" w:id="0">
    <w:p w:rsidR="001068E2" w:rsidRDefault="001068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68E2" w:rsidRDefault="001068E2">
      <w:pPr>
        <w:spacing w:line="240" w:lineRule="auto"/>
      </w:pPr>
      <w:r>
        <w:separator/>
      </w:r>
    </w:p>
  </w:footnote>
  <w:footnote w:type="continuationSeparator" w:id="0">
    <w:p w:rsidR="001068E2" w:rsidRDefault="001068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9537A"/>
    <w:rsid w:val="00BA2833"/>
    <w:rsid w:val="00BA549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FF8"/>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44</cp:revision>
  <dcterms:created xsi:type="dcterms:W3CDTF">2024-12-20T12:00:00Z</dcterms:created>
  <dcterms:modified xsi:type="dcterms:W3CDTF">2024-12-30T14:34:00Z</dcterms:modified>
</cp:coreProperties>
</file>