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Lenzenwiesstrasse 11, Zollikon,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6376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658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Harrington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Harrington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Dachstock
</w:t>
            </w:r>
          </w:p>
          <w:p>
            <w:pPr/>
            <w:r>
              <w:rPr/>
              <w:t xml:space="preserve">DG
</w:t>
            </w:r>
          </w:p>
        </w:tc>
        <w:tc>
          <w:tcPr>
            <w:noWrap/>
          </w:tcPr>
          <w:p>
            <w:pPr/>
            <w:r>
              <w:rPr/>
              <w:t xml:space="preserve">Konstruktions- und Verkleidungsholz</w:t>
            </w:r>
          </w:p>
        </w:tc>
        <w:tc>
          <w:tcPr>
            <w:noWrap/>
          </w:tcPr>
          <w:p>
            <w:pPr/>
            <w:r>
              <w:rPr/>
              <w:t xml:space="preserve">Holzschutzmittel</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Balkon
</w:t>
            </w:r>
          </w:p>
          <w:p>
            <w:pPr/>
            <w:r>
              <w:rPr/>
              <w:t xml:space="preserve">1.OG
</w:t>
            </w:r>
          </w:p>
        </w:tc>
        <w:tc>
          <w:tcPr>
            <w:noWrap/>
          </w:tcPr>
          <w:p>
            <w:pPr/>
            <w:r>
              <w:rPr/>
              <w:t xml:space="preserve">Blumenkisten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Küche
</w:t>
            </w:r>
          </w:p>
          <w:p>
            <w:pPr/>
            <w:r>
              <w:rPr/>
              <w:t xml:space="preserve">EG
</w:t>
            </w:r>
          </w:p>
        </w:tc>
        <w:tc>
          <w:tcPr>
            <w:noWrap/>
          </w:tcPr>
          <w:p>
            <w:pPr/>
            <w:r>
              <w:rPr/>
              <w:t xml:space="preserve">Spühlbecken</w:t>
            </w:r>
          </w:p>
        </w:tc>
        <w:tc>
          <w:tcPr>
            <w:noWrap/>
          </w:tcPr>
          <w:p>
            <w:pPr/>
            <w:r>
              <w:rPr/>
              <w:t xml:space="preserve">Antidröhnbeschichtung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VB-4</w:t>
            </w:r>
          </w:p>
        </w:tc>
        <w:tc>
          <w:tcPr>
            <w:noWrap/>
          </w:tcPr>
          <w:p>
            <w:pPr/>
            <w:r>
              <w:rPr/>
              <w:t xml:space="preserve">Küche
</w:t>
            </w:r>
          </w:p>
          <w:p>
            <w:pPr/>
            <w:r>
              <w:rPr/>
              <w:t xml:space="preserve">EG
</w:t>
            </w:r>
          </w:p>
        </w:tc>
        <w:tc>
          <w:tcPr>
            <w:noWrap/>
          </w:tcPr>
          <w:p>
            <w:pPr/>
            <w:r>
              <w:rPr/>
              <w:t xml:space="preserve">Herd und Abzug</w:t>
            </w:r>
          </w:p>
        </w:tc>
        <w:tc>
          <w:tcPr>
            <w:noWrap/>
          </w:tcPr>
          <w:p>
            <w:pPr/>
            <w:r>
              <w:rPr/>
              <w:t xml:space="preserve">LAP / AZ</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VB-7</w:t>
            </w:r>
          </w:p>
        </w:tc>
        <w:tc>
          <w:tcPr>
            <w:noWrap/>
          </w:tcPr>
          <w:p>
            <w:pPr/>
            <w:r>
              <w:rPr/>
              <w:t xml:space="preserve">Waschküche
</w:t>
            </w:r>
          </w:p>
          <w:p>
            <w:pPr/>
            <w:r>
              <w:rPr/>
              <w:t xml:space="preserve">UG
</w:t>
            </w:r>
          </w:p>
        </w:tc>
        <w:tc>
          <w:tcPr>
            <w:noWrap/>
          </w:tcPr>
          <w:p>
            <w:pPr/>
            <w:r>
              <w:rPr/>
              <w:t xml:space="preserve">Herd und Abzug</w:t>
            </w:r>
          </w:p>
        </w:tc>
        <w:tc>
          <w:tcPr>
            <w:noWrap/>
          </w:tcPr>
          <w:p>
            <w:pPr/>
            <w:r>
              <w:rPr/>
              <w:t xml:space="preserve">LAP / AZ</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VB-8</w:t>
            </w:r>
          </w:p>
        </w:tc>
        <w:tc>
          <w:tcPr>
            <w:noWrap/>
          </w:tcPr>
          <w:p>
            <w:pPr/>
            <w:r>
              <w:rPr/>
              <w:t xml:space="preserve">Heizungsraum
</w:t>
            </w:r>
          </w:p>
          <w:p>
            <w:pPr/>
            <w:r>
              <w:rPr/>
              <w:t xml:space="preserve">UG
</w:t>
            </w:r>
          </w:p>
        </w:tc>
        <w:tc>
          <w:tcPr>
            <w:noWrap/>
          </w:tcPr>
          <w:p>
            <w:pPr/>
            <w:r>
              <w:rPr/>
              <w:t xml:space="preserve">Türaufdoppelung</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VB-9</w:t>
            </w:r>
          </w:p>
        </w:tc>
        <w:tc>
          <w:tcPr>
            <w:noWrap/>
          </w:tcPr>
          <w:p>
            <w:pPr/>
            <w:r>
              <w:rPr/>
              <w:t xml:space="preserve">Gang
</w:t>
            </w:r>
          </w:p>
          <w:p>
            <w:pPr/>
            <w:r>
              <w:rPr/>
              <w:t xml:space="preserve">UG
</w:t>
            </w:r>
          </w:p>
        </w:tc>
        <w:tc>
          <w:tcPr>
            <w:noWrap/>
          </w:tcPr>
          <w:p>
            <w:pPr/>
            <w:r>
              <w:rPr/>
              <w:t xml:space="preserve">Elektrokasten</w:t>
            </w:r>
          </w:p>
        </w:tc>
        <w:tc>
          <w:tcPr>
            <w:noWrap/>
          </w:tcPr>
          <w:p>
            <w:pPr/>
            <w:r>
              <w:rPr/>
              <w:t xml:space="preserve">AZ /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Antidröhnbeschichtung</w:t>
            </w:r>
          </w:p>
        </w:tc>
        <w:tc>
          <w:tcPr>
            <w:noWrap/>
          </w:tcPr>
          <w:p>
            <w:pPr/>
            <w:r>
              <w:rPr/>
              <w:t xml:space="preserve"/>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Holzschutzmittel</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VB-7</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VB-1 Holzschutzmittel</w:t>
      </w:r>
      <w:r>
        <w:rPr>
          <w:sz w:val="24"/>
          <w:szCs w:val="24"/>
        </w:rPr>
        <w:t xml:space="preserve"/>
      </w:r>
      <w:br/>
      <w:r>
        <w:rPr>
          <w:sz w:val="24"/>
          <w:szCs w:val="24"/>
        </w:rPr>
        <w:t xml:space="preserve"/>
      </w:r>
      <w:br/>
      <w:r>
        <w:rPr>
          <w:sz w:val="24"/>
          <w:szCs w:val="24"/>
        </w:rPr>
        <w:t xml:space="preserve">Das Konstruktions- und Verkleidungsholz im Dachstock des Hauses weist Holzschutzmittel auf. Dieses Material kann durch instruierte Handwerker am Stück in einer Kehrichtverwertungsanlage (KVA) entsorgt werden, wobei der LVA Code 17 02 98 S zu verwenden ist.</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w:r>
      <w:br/>
      <w:r>
        <w:rPr>
          <w:sz w:val="24"/>
          <w:szCs w:val="24"/>
        </w:rPr>
        <w:t xml:space="preserve"/>
      </w:r>
      <w:br/>
      <w:r>
        <w:rPr>
          <w:sz w:val="24"/>
          <w:szCs w:val="24"/>
        </w:rPr>
        <w:t xml:space="preserve">Auf dem Balkon im 1. Obergeschoss wurden Blumenkisten aus Faserzement festgestellt, die Asbestexposition besitzen. Diese können durch instruierte Handwerker unter Einhaltung der Richtlinien 33031 rückgebaut werden und sind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VB-3 Antidröhnbeschichtung</w:t>
      </w:r>
      <w:r>
        <w:rPr>
          <w:sz w:val="24"/>
          <w:szCs w:val="24"/>
        </w:rPr>
        <w:t xml:space="preserve"/>
      </w:r>
      <w:br/>
      <w:r>
        <w:rPr>
          <w:sz w:val="24"/>
          <w:szCs w:val="24"/>
        </w:rPr>
        <w:t xml:space="preserve"/>
      </w:r>
      <w:br/>
      <w:r>
        <w:rPr>
          <w:sz w:val="24"/>
          <w:szCs w:val="24"/>
        </w:rPr>
        <w:t xml:space="preserve">Das Spülbecken in der Küche im Erdgeschoss ist mit einer Antidröhnbeschichtung versehen, die den Verdacht auf Asbest in sich trägt. Die Sanierung muss gemäss den Richtlinien 84053 durch Schadstoffsanierer erfolgen, und die Entsorgung erfolgt unter dem LVA Code 17 06 05 S.</w:t>
      </w:r>
      <w:br/>
      <w:r>
        <w:rPr>
          <w:sz w:val="24"/>
          <w:szCs w:val="24"/>
        </w:rPr>
        <w:t xml:space="preserve"/>
      </w:r>
      <w:br/>
      <w:r>
        <w:rPr>
          <w:sz w:val="24"/>
          <w:szCs w:val="24"/>
          <w:b w:val="1"/>
          <w:bCs w:val="1"/>
        </w:rPr>
        <w:t xml:space="preserve"/>
      </w:r>
      <w:r>
        <w:rPr>
          <w:sz w:val="24"/>
          <w:szCs w:val="24"/>
          <w:b w:val="1"/>
          <w:bCs w:val="1"/>
        </w:rPr>
        <w:t xml:space="preserve">VB-8 Faserzement</w:t>
      </w:r>
      <w:r>
        <w:rPr>
          <w:sz w:val="24"/>
          <w:szCs w:val="24"/>
        </w:rPr>
        <w:t xml:space="preserve"/>
      </w:r>
      <w:br/>
      <w:r>
        <w:rPr>
          <w:sz w:val="24"/>
          <w:szCs w:val="24"/>
        </w:rPr>
        <w:t xml:space="preserve"/>
      </w:r>
      <w:br/>
      <w:r>
        <w:rPr>
          <w:sz w:val="24"/>
          <w:szCs w:val="24"/>
        </w:rPr>
        <w:t xml:space="preserve">Im Heizungsraum im Untergeschoss wurde bei der Türaufdoppelung Faserzement mit Asbestexposition identifiziert. Auch dieses Material kann durch instruierte Handwerker unter Beachtung der Richtlinien 33031 rückgebaut werden und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Dachstock
</w:t>
            </w:r>
          </w:p>
          <w:p>
            <w:pPr/>
            <w:r>
              <w:rPr/>
              <w:t xml:space="preserve">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Dachstock
</w:t>
            </w:r>
          </w:p>
          <w:p>
            <w:pPr/>
            <w:r>
              <w:rPr/>
              <w:t xml:space="preserve">DG
</w:t>
            </w:r>
          </w:p>
        </w:tc>
        <w:tc>
          <w:tcPr>
            <w:shd w:val="clear" w:fill="red"/>
            <w:noWrap/>
          </w:tcPr>
          <w:p>
            <w:pPr/>
            <w:r>
              <w:rPr/>
              <w:t xml:space="preserve">VM-4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1.OG
</w:t>
            </w:r>
          </w:p>
        </w:tc>
        <w:tc>
          <w:tcPr>
            <w:shd w:val="clear" w:fill="red"/>
            <w:noWrap/>
          </w:tcPr>
          <w:p>
            <w:pPr/>
            <w:r>
              <w:rPr/>
              <w:t xml:space="preserve">VM-5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Zimmer
</w:t>
            </w:r>
          </w:p>
          <w:p>
            <w:pPr/>
            <w:r>
              <w:rPr/>
              <w:t xml:space="preserve">1.OG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1.OG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1.OG
</w:t>
            </w:r>
          </w:p>
        </w:tc>
        <w:tc>
          <w:tcPr>
            <w:shd w:val="clear" w:fill="red"/>
            <w:noWrap/>
          </w:tcPr>
          <w:p>
            <w:pPr/>
            <w:r>
              <w:rPr/>
              <w:t xml:space="preserve">VM-7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1.OG
</w:t>
            </w:r>
          </w:p>
        </w:tc>
        <w:tc>
          <w:tcPr>
            <w:shd w:val="clear" w:fill="red"/>
            <w:noWrap/>
          </w:tcPr>
          <w:p>
            <w:pPr/>
            <w:r>
              <w:rPr/>
              <w:t xml:space="preserve">VM-8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1.OG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1.OG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1.OG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MaP-11</w:t>
            </w:r>
          </w:p>
        </w:tc>
        <w:tc>
          <w:tcPr>
            <w:shd w:val="clear" w:fill="red"/>
            <w:noWrap/>
          </w:tcPr>
          <w:p>
            <w:pPr/>
            <w:r>
              <w:rPr/>
              <w:t xml:space="preserve">Gang/ Treppe
</w:t>
            </w:r>
          </w:p>
          <w:p>
            <w:pPr/>
            <w:r>
              <w:rPr/>
              <w:t xml:space="preserve">EG / 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MaP-12</w:t>
            </w:r>
          </w:p>
        </w:tc>
        <w:tc>
          <w:tcPr>
            <w:shd w:val="clear" w:fill="red"/>
            <w:noWrap/>
          </w:tcPr>
          <w:p>
            <w:pPr/>
            <w:r>
              <w:rPr/>
              <w:t xml:space="preserve">Gang/ Treppe
</w:t>
            </w:r>
          </w:p>
          <w:p>
            <w:pPr/>
            <w:r>
              <w:rPr/>
              <w:t xml:space="preserve">EG / OG
</w:t>
            </w:r>
          </w:p>
        </w:tc>
        <w:tc>
          <w:tcPr>
            <w:shd w:val="clear" w:fill="red"/>
            <w:noWrap/>
          </w:tcPr>
          <w:p>
            <w:pPr/>
            <w:r>
              <w:rPr/>
              <w:t xml:space="preserve">VM-8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EG-DG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MaP-14</w:t>
            </w:r>
          </w:p>
        </w:tc>
        <w:tc>
          <w:tcPr>
            <w:shd w:val="clear" w:fill="red"/>
            <w:noWrap/>
          </w:tcPr>
          <w:p>
            <w:pPr/>
            <w:r>
              <w:rPr/>
              <w:t xml:space="preserve">Gang/ Treppe
</w:t>
            </w:r>
          </w:p>
          <w:p>
            <w:pPr/>
            <w:r>
              <w:rPr/>
              <w:t xml:space="preserve">EG / 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MaP-15</w:t>
            </w:r>
          </w:p>
        </w:tc>
        <w:tc>
          <w:tcPr>
            <w:shd w:val="clear" w:fill="red"/>
            <w:noWrap/>
          </w:tcPr>
          <w:p>
            <w:pPr/>
            <w:r>
              <w:rPr/>
              <w:t xml:space="preserve">Gang/ Treppe
</w:t>
            </w:r>
          </w:p>
          <w:p>
            <w:pPr/>
            <w:r>
              <w:rPr/>
              <w:t xml:space="preserve">EG / OG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EG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MaP-20</w:t>
            </w:r>
          </w:p>
        </w:tc>
        <w:tc>
          <w:tcPr>
            <w:shd w:val="clear" w:fill="orange"/>
            <w:noWrap/>
          </w:tcPr>
          <w:p>
            <w:pPr/>
            <w:r>
              <w:rPr/>
              <w:t xml:space="preserve">alte Fenster
</w:t>
            </w:r>
          </w:p>
          <w:p>
            <w:pPr/>
            <w:r>
              <w:rPr/>
              <w:t xml:space="preserve">WC und UG
</w:t>
            </w:r>
          </w:p>
        </w:tc>
        <w:tc>
          <w:tcPr>
            <w:shd w:val="clear" w:fill="orange"/>
            <w:noWrap/>
          </w:tcPr>
          <w:p>
            <w:pPr/>
            <w:r>
              <w:rPr/>
              <w:t xml:space="preserve">VM-15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MaP-21</w:t>
            </w:r>
          </w:p>
        </w:tc>
        <w:tc>
          <w:tcPr>
            <w:shd w:val="clear" w:fill="green"/>
            <w:noWrap/>
          </w:tcPr>
          <w:p>
            <w:pPr/>
            <w:r>
              <w:rPr/>
              <w:t xml:space="preserve">Heizungsraum
</w:t>
            </w:r>
          </w:p>
          <w:p>
            <w:pPr/>
            <w:r>
              <w:rPr/>
              <w:t xml:space="preserve">UG
</w:t>
            </w:r>
          </w:p>
        </w:tc>
        <w:tc>
          <w:tcPr>
            <w:shd w:val="clear" w:fill="green"/>
            <w:noWrap/>
          </w:tcPr>
          <w:p>
            <w:pPr/>
            <w:r>
              <w:rPr/>
              <w:t xml:space="preserve">VM-17
</w:t>
            </w:r>
          </w:p>
          <w:p>
            <w:pPr/>
            <w:r>
              <w:rPr/>
              <w:t xml:space="preserve">Beschichtung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MaP-22</w:t>
            </w:r>
          </w:p>
        </w:tc>
        <w:tc>
          <w:tcPr>
            <w:shd w:val="clear" w:fill="orange"/>
            <w:noWrap/>
          </w:tcPr>
          <w:p>
            <w:pPr/>
            <w:r>
              <w:rPr/>
              <w:t xml:space="preserve">Waschküche
</w:t>
            </w:r>
          </w:p>
          <w:p>
            <w:pPr/>
            <w:r>
              <w:rPr/>
              <w:t xml:space="preserve">UG
</w:t>
            </w:r>
          </w:p>
        </w:tc>
        <w:tc>
          <w:tcPr>
            <w:shd w:val="clear" w:fill="orange"/>
            <w:noWrap/>
          </w:tcPr>
          <w:p>
            <w:pPr/>
            <w:r>
              <w:rPr/>
              <w:t xml:space="preserve">VM-18
</w:t>
            </w:r>
          </w:p>
          <w:p>
            <w:pPr/>
            <w:r>
              <w:rPr/>
              <w:t xml:space="preserve">(elastische) Bodenbeläge
</w:t>
            </w:r>
          </w:p>
          <w:p>
            <w:pPr/>
            <w:r>
              <w:rPr/>
              <w:t xml:space="preserve">Küchenrückwand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MaP-23</w:t>
            </w:r>
          </w:p>
        </w:tc>
        <w:tc>
          <w:tcPr>
            <w:shd w:val="clear" w:fill="red"/>
            <w:noWrap/>
          </w:tcPr>
          <w:p>
            <w:pPr/>
            <w:r>
              <w:rPr/>
              <w:t xml:space="preserve">Keller
</w:t>
            </w:r>
          </w:p>
          <w:p>
            <w:pPr/>
            <w:r>
              <w:rPr/>
              <w:t xml:space="preserve">UG
</w:t>
            </w:r>
          </w:p>
        </w:tc>
        <w:tc>
          <w:tcPr>
            <w:shd w:val="clear" w:fill="red"/>
            <w:noWrap/>
          </w:tcPr>
          <w:p>
            <w:pPr/>
            <w:r>
              <w:rPr/>
              <w:t xml:space="preserve">VM-19
</w:t>
            </w:r>
          </w:p>
          <w:p>
            <w:pPr/>
            <w:r>
              <w:rPr/>
              <w:t xml:space="preserve">Rohrisolation
</w:t>
            </w:r>
          </w:p>
          <w:p>
            <w:pPr/>
            <w:r>
              <w:rPr/>
              <w:t xml:space="preserve">Heizungsrohre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MaP-24</w:t>
            </w:r>
          </w:p>
        </w:tc>
        <w:tc>
          <w:tcPr>
            <w:shd w:val="clear" w:fill="red"/>
            <w:noWrap/>
          </w:tcPr>
          <w:p>
            <w:pPr/>
            <w:r>
              <w:rPr/>
              <w:t xml:space="preserve">Mischprobe
</w:t>
            </w:r>
          </w:p>
          <w:p>
            <w:pPr/>
            <w:r>
              <w:rPr/>
              <w:t xml:space="preserve">UG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MaP-25</w:t>
            </w:r>
          </w:p>
        </w:tc>
        <w:tc>
          <w:tcPr>
            <w:shd w:val="clear" w:fill="red"/>
            <w:noWrap/>
          </w:tcPr>
          <w:p>
            <w:pPr/>
            <w:r>
              <w:rPr/>
              <w:t xml:space="preserve">Mischprobe
</w:t>
            </w:r>
          </w:p>
          <w:p>
            <w:pPr/>
            <w:r>
              <w:rPr/>
              <w:t xml:space="preserve">UG
</w:t>
            </w:r>
          </w:p>
        </w:tc>
        <w:tc>
          <w:tcPr>
            <w:shd w:val="clear" w:fill="red"/>
            <w:noWrap/>
          </w:tcPr>
          <w:p>
            <w:pPr/>
            <w:r>
              <w:rPr/>
              <w:t xml:space="preserve">VM-6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VB-1</w:t>
            </w:r>
          </w:p>
        </w:tc>
        <w:tc>
          <w:tcPr>
            <w:shd w:val="clear" w:fill="orange"/>
            <w:noWrap/>
          </w:tcPr>
          <w:p>
            <w:pPr/>
            <w:r>
              <w:rPr/>
              <w:t xml:space="preserve">Dachstock
</w:t>
            </w:r>
          </w:p>
          <w:p>
            <w:pPr/>
            <w:r>
              <w:rPr/>
              <w:t xml:space="preserve">DG
</w:t>
            </w:r>
          </w:p>
        </w:tc>
        <w:tc>
          <w:tcPr>
            <w:shd w:val="clear" w:fill="orange"/>
            <w:noWrap/>
          </w:tcPr>
          <w:p>
            <w:pPr/>
            <w:r>
              <w:rPr/>
              <w:t xml:space="preserve">VM-2
</w:t>
            </w:r>
          </w:p>
          <w:p>
            <w:pPr/>
            <w:r>
              <w:rPr/>
              <w:t xml:space="preserve">Holzschutzmittel
</w:t>
            </w:r>
          </w:p>
          <w:p>
            <w:pPr/>
            <w:r>
              <w:rPr/>
              <w:t xml:space="preserve">Konstruktions- 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VB-2</w:t>
            </w:r>
          </w:p>
        </w:tc>
        <w:tc>
          <w:tcPr>
            <w:shd w:val="clear" w:fill="orange"/>
            <w:noWrap/>
          </w:tcPr>
          <w:p>
            <w:pPr/>
            <w:r>
              <w:rPr/>
              <w:t xml:space="preserve">Balkon
</w:t>
            </w:r>
          </w:p>
          <w:p>
            <w:pPr/>
            <w:r>
              <w:rPr/>
              <w:t xml:space="preserve">1.OG
</w:t>
            </w:r>
          </w:p>
        </w:tc>
        <w:tc>
          <w:tcPr>
            <w:shd w:val="clear" w:fill="orange"/>
            <w:noWrap/>
          </w:tcPr>
          <w:p>
            <w:pPr/>
            <w:r>
              <w:rPr/>
              <w:t xml:space="preserve">VM-10
</w:t>
            </w:r>
          </w:p>
          <w:p>
            <w:pPr/>
            <w:r>
              <w:rPr/>
              <w:t xml:space="preserve">Faserzement
</w:t>
            </w:r>
          </w:p>
          <w:p>
            <w:pPr/>
            <w:r>
              <w:rPr/>
              <w:t xml:space="preserve">Blumenkisten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EG
</w:t>
            </w:r>
          </w:p>
        </w:tc>
        <w:tc>
          <w:tcPr>
            <w:shd w:val="clear" w:fill="red"/>
            <w:noWrap/>
          </w:tcPr>
          <w:p>
            <w:pPr/>
            <w:r>
              <w:rPr/>
              <w:t xml:space="preserve">VM-12
</w:t>
            </w:r>
          </w:p>
          <w:p>
            <w:pPr/>
            <w:r>
              <w:rPr/>
              <w:t xml:space="preserve">Antidröhnbeschichtung
</w:t>
            </w:r>
          </w:p>
          <w:p>
            <w:pPr/>
            <w:r>
              <w:rPr/>
              <w:t xml:space="preserve">Spühlbecken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VB-4</w:t>
            </w:r>
          </w:p>
        </w:tc>
        <w:tc>
          <w:tcPr>
            <w:shd w:val="clear" w:fill="green"/>
            <w:noWrap/>
          </w:tcPr>
          <w:p>
            <w:pPr/>
            <w:r>
              <w:rPr/>
              <w:t xml:space="preserve">Küche
</w:t>
            </w:r>
          </w:p>
          <w:p>
            <w:pPr/>
            <w:r>
              <w:rPr/>
              <w:t xml:space="preserve">EG
</w:t>
            </w:r>
          </w:p>
        </w:tc>
        <w:tc>
          <w:tcPr>
            <w:shd w:val="clear" w:fill="green"/>
            <w:noWrap/>
          </w:tcPr>
          <w:p>
            <w:pPr/>
            <w:r>
              <w:rPr/>
              <w:t xml:space="preserve">VM-13
</w:t>
            </w:r>
          </w:p>
          <w:p>
            <w:pPr/>
            <w:r>
              <w:rPr/>
              <w:t xml:space="preserve">LAP / AZ
</w:t>
            </w:r>
          </w:p>
          <w:p>
            <w:pPr/>
            <w:r>
              <w:rPr/>
              <w:t xml:space="preserve">Herd und Abzug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VB-5</w:t>
            </w:r>
          </w:p>
        </w:tc>
        <w:tc>
          <w:tcPr>
            <w:shd w:val="clear" w:fill="red"/>
            <w:noWrap/>
          </w:tcPr>
          <w:p>
            <w:pPr/>
            <w:r>
              <w:rPr/>
              <w:t xml:space="preserve">Zimmer
</w:t>
            </w:r>
          </w:p>
          <w:p>
            <w:pPr/>
            <w:r>
              <w:rPr/>
              <w:t xml:space="preserve">EG
</w:t>
            </w:r>
          </w:p>
        </w:tc>
        <w:tc>
          <w:tcPr>
            <w:shd w:val="clear" w:fill="red"/>
            <w:noWrap/>
          </w:tcPr>
          <w:p>
            <w:pPr/>
            <w:r>
              <w:rPr/>
              <w:t xml:space="preserve">VM-14
</w:t>
            </w:r>
          </w:p>
          <w:p>
            <w:pPr/>
            <w:r>
              <w:rPr/>
              <w:t xml:space="preserve">Parkettkleber
</w:t>
            </w:r>
          </w:p>
          <w:p>
            <w:pPr/>
            <w:r>
              <w:rPr/>
              <w:t xml:space="preserve">neues Parkett (1998)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green"/>
            <w:noWrap/>
          </w:tcPr>
          <w:p>
            <w:pPr/>
            <w:r>
              <w:rPr/>
              <w:t xml:space="preserve">VB-6</w:t>
            </w:r>
          </w:p>
        </w:tc>
        <w:tc>
          <w:tcPr>
            <w:shd w:val="clear" w:fill="green"/>
            <w:noWrap/>
          </w:tcPr>
          <w:p>
            <w:pPr/>
            <w:r>
              <w:rPr/>
              <w:t xml:space="preserve">Heizungsraum
</w:t>
            </w:r>
          </w:p>
          <w:p>
            <w:pPr/>
            <w:r>
              <w:rPr/>
              <w:t xml:space="preserve">UG
</w:t>
            </w:r>
          </w:p>
        </w:tc>
        <w:tc>
          <w:tcPr>
            <w:shd w:val="clear" w:fill="green"/>
            <w:noWrap/>
          </w:tcPr>
          <w:p>
            <w:pPr/>
            <w:r>
              <w:rPr/>
              <w:t xml:space="preserve">VM-16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8" o:title=""/>
                </v:shape>
              </w:pict>
              <w:t xml:space="preserve"/>
            </w:r>
          </w:p>
        </w:tc>
        <w:tc>
          <w:tcPr>
            <w:shd w:val="clear" w:fill="green"/>
            <w:noWrap/>
          </w:tcPr>
          <w:p>
            <w:pPr/>
            <w:r>
              <w:rPr/>
              <w:t xml:space="preserve"/>
              <w:pict>
                <v:shape type="#_x0000_t75" style="width:100px;height:150px" stroked="f" filled="f">
                  <v:imagedata r:id="rId79" o:title=""/>
                </v:shape>
              </w:pict>
              <w:t xml:space="preserve"/>
            </w:r>
          </w:p>
        </w:tc>
      </w:tr>
      <w:tr>
        <w:trPr/>
        <w:tc>
          <w:tcPr>
            <w:shd w:val="clear" w:fill="green"/>
            <w:noWrap/>
          </w:tcPr>
          <w:p>
            <w:pPr/>
            <w:r>
              <w:rPr/>
              <w:t xml:space="preserve">VB-7</w:t>
            </w:r>
          </w:p>
        </w:tc>
        <w:tc>
          <w:tcPr>
            <w:shd w:val="clear" w:fill="green"/>
            <w:noWrap/>
          </w:tcPr>
          <w:p>
            <w:pPr/>
            <w:r>
              <w:rPr/>
              <w:t xml:space="preserve">Waschküche
</w:t>
            </w:r>
          </w:p>
          <w:p>
            <w:pPr/>
            <w:r>
              <w:rPr/>
              <w:t xml:space="preserve">UG
</w:t>
            </w:r>
          </w:p>
        </w:tc>
        <w:tc>
          <w:tcPr>
            <w:shd w:val="clear" w:fill="green"/>
            <w:noWrap/>
          </w:tcPr>
          <w:p>
            <w:pPr/>
            <w:r>
              <w:rPr/>
              <w:t xml:space="preserve">VM-13
</w:t>
            </w:r>
          </w:p>
          <w:p>
            <w:pPr/>
            <w:r>
              <w:rPr/>
              <w:t xml:space="preserve">LAP / AZ
</w:t>
            </w:r>
          </w:p>
          <w:p>
            <w:pPr/>
            <w:r>
              <w:rPr/>
              <w:t xml:space="preserve">Herd und Abzug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0" o:title=""/>
                </v:shape>
              </w:pict>
              <w:t xml:space="preserve"/>
            </w:r>
          </w:p>
        </w:tc>
        <w:tc>
          <w:tcPr>
            <w:shd w:val="clear" w:fill="green"/>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VB-8</w:t>
            </w:r>
          </w:p>
        </w:tc>
        <w:tc>
          <w:tcPr>
            <w:shd w:val="clear" w:fill="orange"/>
            <w:noWrap/>
          </w:tcPr>
          <w:p>
            <w:pPr/>
            <w:r>
              <w:rPr/>
              <w:t xml:space="preserve">Heizungsraum
</w:t>
            </w:r>
          </w:p>
          <w:p>
            <w:pPr/>
            <w:r>
              <w:rPr/>
              <w:t xml:space="preserve">UG
</w:t>
            </w:r>
          </w:p>
        </w:tc>
        <w:tc>
          <w:tcPr>
            <w:shd w:val="clear" w:fill="orange"/>
            <w:noWrap/>
          </w:tcPr>
          <w:p>
            <w:pPr/>
            <w:r>
              <w:rPr/>
              <w:t xml:space="preserve">VM-20
</w:t>
            </w:r>
          </w:p>
          <w:p>
            <w:pPr/>
            <w:r>
              <w:rPr/>
              <w:t xml:space="preserve">Faserzement
</w:t>
            </w:r>
          </w:p>
          <w:p>
            <w:pPr/>
            <w:r>
              <w:rPr/>
              <w:t xml:space="preserve">Türaufdoppelung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green"/>
            <w:noWrap/>
          </w:tcPr>
          <w:p>
            <w:pPr/>
            <w:r>
              <w:rPr/>
              <w:t xml:space="preserve">VB-9</w:t>
            </w:r>
          </w:p>
        </w:tc>
        <w:tc>
          <w:tcPr>
            <w:shd w:val="clear" w:fill="green"/>
            <w:noWrap/>
          </w:tcPr>
          <w:p>
            <w:pPr/>
            <w:r>
              <w:rPr/>
              <w:t xml:space="preserve">Gang
</w:t>
            </w:r>
          </w:p>
          <w:p>
            <w:pPr/>
            <w:r>
              <w:rPr/>
              <w:t xml:space="preserve">UG
</w:t>
            </w:r>
          </w:p>
        </w:tc>
        <w:tc>
          <w:tcPr>
            <w:shd w:val="clear" w:fill="green"/>
            <w:noWrap/>
          </w:tcPr>
          <w:p>
            <w:pPr/>
            <w:r>
              <w:rPr/>
              <w:t xml:space="preserve">VM-21
</w:t>
            </w:r>
          </w:p>
          <w:p>
            <w:pPr/>
            <w:r>
              <w:rPr/>
              <w:t xml:space="preserve">AZ / LAP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4" o:title=""/>
                </v:shape>
              </w:pict>
              <w:t xml:space="preserve"/>
            </w:r>
          </w:p>
        </w:tc>
        <w:tc>
          <w:tcPr>
            <w:shd w:val="clear" w:fill="green"/>
            <w:noWrap/>
          </w:tcPr>
          <w:p>
            <w:pPr/>
            <w:r>
              <w:rPr/>
              <w:t xml:space="preserve"/>
              <w:pict>
                <v:shape type="#_x0000_t75" style="width:100px;height:150px" stroked="f" filled="f">
                  <v:imagedata r:id="rId8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7.96610169492px;height:900px" stroked="f" filled="f">
            <v:imagedata r:id="rId17"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