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Steinaueli 1705, 9107 Urnäsch,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587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652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EFH vor 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Michael Fehr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Steinaueli 1705, 9107 Urnäsch, Switzerland</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Michael Fehr</w:t>
            </w:r>
            <w:bookmarkEnd w:id="12"/>
            <w:r w:rsidRPr="00FF365E">
              <w:rPr>
                <w:sz w:val="24"/>
                <w:szCs w:val="24"/>
                <w:lang w:val="en-GB"/>
              </w:rPr>
              <w:t xml:space="preserve"> </w:t>
            </w:r>
            <w:bookmarkStart w:id="13" w:name="OLE_LINK13"/>
            <w:r w:rsidRPr="00FF365E">
              <w:rPr>
                <w:sz w:val="24"/>
                <w:szCs w:val="24"/>
                <w:lang w:val="en-GB"/>
              </w:rPr>
              <w:t xml:space="preserve">Steinaueli 1705, 9107 Urnäsch, Switzerland</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16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MaP-6</w:t>
            </w:r>
          </w:p>
        </w:tc>
        <w:tc>
          <w:tcPr>
            <w:noWrap/>
          </w:tcPr>
          <w:p>
            <w:pPr/>
            <w:r>
              <w:rPr/>
              <w:t xml:space="preserve">Küche/ Nebenraum
</w:t>
            </w:r>
          </w:p>
          <w:p>
            <w:pPr/>
            <w:r>
              <w:rPr/>
              <w:t xml:space="preserve">EG
</w:t>
            </w:r>
          </w:p>
          <w:p>
            <w:pPr/>
            <w:r>
              <w:rPr/>
              <w:t xml:space="preserve">Wand/ Decke
</w:t>
            </w:r>
          </w:p>
        </w:tc>
        <w:tc>
          <w:tcPr>
            <w:noWrap/>
          </w:tcPr>
          <w:p>
            <w:pPr/>
            <w:r>
              <w:rPr/>
              <w:t xml:space="preserve">Wand/ Decke</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VB-2</w:t>
            </w:r>
          </w:p>
        </w:tc>
        <w:tc>
          <w:tcPr>
            <w:noWrap/>
          </w:tcPr>
          <w:p>
            <w:pPr/>
            <w:r>
              <w:rPr/>
              <w:t xml:space="preserve">Kamin Warmluft Offen
</w:t>
            </w:r>
          </w:p>
          <w:p>
            <w:pPr/>
            <w:r>
              <w:rPr/>
              <w:t xml:space="preserve">DG
</w:t>
            </w:r>
          </w:p>
          <w:p>
            <w:pPr/>
            <w:r>
              <w:rPr/>
              <w:t xml:space="preserve">Wand
</w:t>
            </w:r>
          </w:p>
        </w:tc>
        <w:tc>
          <w:tcPr>
            <w:noWrap/>
          </w:tcPr>
          <w:p>
            <w:pPr/>
            <w:r>
              <w:rPr/>
              <w:t xml:space="preserve">Kamin Warmluft Offen</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VB-5</w:t>
            </w:r>
          </w:p>
        </w:tc>
        <w:tc>
          <w:tcPr>
            <w:noWrap/>
          </w:tcPr>
          <w:p>
            <w:pPr/>
            <w:r>
              <w:rPr/>
              <w:t xml:space="preserve">Reduit
</w:t>
            </w:r>
          </w:p>
          <w:p>
            <w:pPr/>
            <w:r>
              <w:rPr/>
              <w:t xml:space="preserve">EG
</w:t>
            </w:r>
          </w:p>
          <w:p>
            <w:pPr/>
            <w:r>
              <w:rPr/>
              <w:t xml:space="preserve">LAP
</w:t>
            </w:r>
          </w:p>
        </w:tc>
        <w:tc>
          <w:tcPr>
            <w:noWrap/>
          </w:tcPr>
          <w:p>
            <w:pPr/>
            <w:r>
              <w:rPr/>
              <w:t xml:space="preserve">Elektrotableau</w:t>
            </w:r>
          </w:p>
        </w:tc>
        <w:tc>
          <w:tcPr>
            <w:noWrap/>
          </w:tcPr>
          <w:p>
            <w:pPr/>
            <w:r>
              <w:rPr/>
              <w:t xml:space="preserve">Asbest Karton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VB-7</w:t>
            </w:r>
          </w:p>
        </w:tc>
        <w:tc>
          <w:tcPr>
            <w:noWrap/>
          </w:tcPr>
          <w:p>
            <w:pPr/>
            <w:r>
              <w:rPr/>
              <w:t xml:space="preserve">WC
</w:t>
            </w:r>
          </w:p>
          <w:p>
            <w:pPr/>
            <w:r>
              <w:rPr/>
              <w:t xml:space="preserve">EG
</w:t>
            </w:r>
          </w:p>
          <w:p>
            <w:pPr/>
            <w:r>
              <w:rPr/>
              <w:t xml:space="preserve">Fallrohr
</w:t>
            </w:r>
          </w:p>
        </w:tc>
        <w:tc>
          <w:tcPr>
            <w:noWrap/>
          </w:tcPr>
          <w:p>
            <w:pPr/>
            <w:r>
              <w:rPr/>
              <w:t xml:space="preserve">Fallrohr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VB-10</w:t>
            </w:r>
          </w:p>
        </w:tc>
        <w:tc>
          <w:tcPr>
            <w:noWrap/>
          </w:tcPr>
          <w:p>
            <w:pPr/>
            <w:r>
              <w:rPr/>
              <w:t xml:space="preserve">Wohnzimmer
</w:t>
            </w:r>
          </w:p>
          <w:p>
            <w:pPr/>
            <w:r>
              <w:rPr/>
              <w:t xml:space="preserve">EG
</w:t>
            </w:r>
          </w:p>
          <w:p>
            <w:pPr/>
            <w:r>
              <w:rPr/>
              <w:t xml:space="preserve">Warmluft Offen
</w:t>
            </w:r>
          </w:p>
        </w:tc>
        <w:tc>
          <w:tcPr>
            <w:noWrap/>
          </w:tcPr>
          <w:p>
            <w:pPr/>
            <w:r>
              <w:rPr/>
              <w:t xml:space="preserve">Warmluft Offen</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MaP-6</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Faserzement</w:t>
            </w:r>
          </w:p>
        </w:tc>
        <w:tc>
          <w:tcPr>
            <w:noWrap/>
          </w:tcPr>
          <w:p>
            <w:pPr/>
            <w:r>
              <w:rPr/>
              <w:t xml:space="preserve">4</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VB-7</w:t>
            </w:r>
          </w:p>
        </w:tc>
        <w:tc>
          <w:tcPr>
            <w:noWrap/>
          </w:tcPr>
          <w:p>
            <w:pPr/>
            <w:r>
              <w:rPr/>
              <w:t xml:space="preserve">Faserzement</w:t>
            </w:r>
          </w:p>
        </w:tc>
        <w:tc>
          <w:tcPr>
            <w:noWrap/>
          </w:tcPr>
          <w:p>
            <w:pPr/>
            <w:r>
              <w:rPr/>
              <w:t xml:space="preserve">20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VB-10</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VB-5</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VB-10</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MaP-6 Faserzement</w:t>
      </w:r>
      <w:r>
        <w:rPr>
          <w:sz w:val="24"/>
          <w:szCs w:val="24"/>
        </w:rPr>
        <w:t xml:space="preserve">  </w:t>
      </w:r>
      <w:br/>
      <w:r>
        <w:rPr>
          <w:sz w:val="24"/>
          <w:szCs w:val="24"/>
        </w:rPr>
        <w:t xml:space="preserve">Faserzement aus Küche/Nebenraum im Erdgeschoss kann durch instruierte Handwerker unter Einhaltung der Richtlinien 33031 rückgebaut werden. Es ist mit dem LVA-Code 17 06 98 nk in einer Deponie Typ B zu entsorgen.  </w:t>
      </w:r>
      <w:br/>
      <w:r>
        <w:rPr>
          <w:sz w:val="24"/>
          <w:szCs w:val="24"/>
        </w:rPr>
        <w:t xml:space="preserve"/>
      </w:r>
      <w:br/>
      <w:r>
        <w:rPr>
          <w:sz w:val="24"/>
          <w:szCs w:val="24"/>
          <w:b w:val="1"/>
          <w:bCs w:val="1"/>
        </w:rPr>
        <w:t xml:space="preserve"/>
      </w:r>
      <w:r>
        <w:rPr>
          <w:sz w:val="24"/>
          <w:szCs w:val="24"/>
          <w:b w:val="1"/>
          <w:bCs w:val="1"/>
        </w:rPr>
        <w:t xml:space="preserve">VB-2 Faserzement</w:t>
      </w:r>
      <w:r>
        <w:rPr>
          <w:sz w:val="24"/>
          <w:szCs w:val="24"/>
        </w:rPr>
        <w:t xml:space="preserve">  </w:t>
      </w:r>
      <w:br/>
      <w:r>
        <w:rPr>
          <w:sz w:val="24"/>
          <w:szCs w:val="24"/>
        </w:rPr>
        <w:t xml:space="preserve">Faserzement im Kamin Warmluft Offen im Dachgeschoss erfordert eine Sanierung durch instruierte Handwerker. Das Material ist gemäss den Richtlinien 33031 zu entfernen und der LVA-Code 17 06 98 nk zur Entsorgung in einer Deponie Typ B zu verwenden.  </w:t>
      </w:r>
      <w:br/>
      <w:r>
        <w:rPr>
          <w:sz w:val="24"/>
          <w:szCs w:val="24"/>
        </w:rPr>
        <w:t xml:space="preserve"/>
      </w:r>
      <w:br/>
      <w:r>
        <w:rPr>
          <w:sz w:val="24"/>
          <w:szCs w:val="24"/>
          <w:b w:val="1"/>
          <w:bCs w:val="1"/>
        </w:rPr>
        <w:t xml:space="preserve"/>
      </w:r>
      <w:r>
        <w:rPr>
          <w:sz w:val="24"/>
          <w:szCs w:val="24"/>
          <w:b w:val="1"/>
          <w:bCs w:val="1"/>
        </w:rPr>
        <w:t xml:space="preserve">VB-7 Faserzement</w:t>
      </w:r>
      <w:r>
        <w:rPr>
          <w:sz w:val="24"/>
          <w:szCs w:val="24"/>
        </w:rPr>
        <w:t xml:space="preserve">  </w:t>
      </w:r>
      <w:br/>
      <w:r>
        <w:rPr>
          <w:sz w:val="24"/>
          <w:szCs w:val="24"/>
        </w:rPr>
        <w:t xml:space="preserve">Das Faserzement-Fallrohr im WC im Erdgeschoss kann von instruierte Handwerkern im Rahmen der Richtlinien 33031 saniert werden. Die Entsorgung erfolgt mit dem LVA-Code 17 06 98 nk in einer dafür vorgesehenen Deponie Typ B.  </w:t>
      </w:r>
      <w:br/>
      <w:r>
        <w:rPr>
          <w:sz w:val="24"/>
          <w:szCs w:val="24"/>
        </w:rPr>
        <w:t xml:space="preserve"/>
      </w:r>
      <w:br/>
      <w:r>
        <w:rPr>
          <w:sz w:val="24"/>
          <w:szCs w:val="24"/>
          <w:b w:val="1"/>
          <w:bCs w:val="1"/>
        </w:rPr>
        <w:t xml:space="preserve"/>
      </w:r>
      <w:r>
        <w:rPr>
          <w:sz w:val="24"/>
          <w:szCs w:val="24"/>
          <w:b w:val="1"/>
          <w:bCs w:val="1"/>
        </w:rPr>
        <w:t xml:space="preserve">VB-10 Faserzement</w:t>
      </w:r>
      <w:r>
        <w:rPr>
          <w:sz w:val="24"/>
          <w:szCs w:val="24"/>
        </w:rPr>
        <w:t xml:space="preserve">  </w:t>
      </w:r>
      <w:br/>
      <w:r>
        <w:rPr>
          <w:sz w:val="24"/>
          <w:szCs w:val="24"/>
        </w:rPr>
        <w:t xml:space="preserve">Faserzement im Wohnzimmer im Erdgeschoss bei der Warmluft offen darf durch instruierte Handwerker unter Berücksichtigung der Richtlinien 33031 rückgebaut werden. Zur Entsorgung wird der LVA-Code 17 06 98 nk in einer Deponie Typ B verwendet.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Kamin Warmluft Offen
</w:t>
            </w:r>
          </w:p>
          <w:p>
            <w:pPr/>
            <w:r>
              <w:rPr/>
              <w:t xml:space="preserve">UG-DG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MaP-2</w:t>
            </w:r>
          </w:p>
        </w:tc>
        <w:tc>
          <w:tcPr>
            <w:shd w:val="clear" w:fill="red"/>
            <w:noWrap/>
          </w:tcPr>
          <w:p>
            <w:pPr/>
            <w:r>
              <w:rPr/>
              <w:t xml:space="preserve">Reduit
</w:t>
            </w:r>
          </w:p>
          <w:p>
            <w:pPr/>
            <w:r>
              <w:rPr/>
              <w:t xml:space="preserve">EG
</w:t>
            </w:r>
          </w:p>
          <w:p>
            <w:pPr/>
            <w:r>
              <w:rPr/>
              <w:t xml:space="preserve">Elektrotableau Kasten-Verkleidung
</w:t>
            </w:r>
          </w:p>
        </w:tc>
        <w:tc>
          <w:tcPr>
            <w:shd w:val="clear" w:fill="red"/>
            <w:noWrap/>
          </w:tcPr>
          <w:p>
            <w:pPr/>
            <w:r>
              <w:rPr/>
              <w:t xml:space="preserve">VM-13
</w:t>
            </w:r>
          </w:p>
          <w:p>
            <w:pPr/>
            <w:r>
              <w:rPr/>
              <w:t xml:space="preserve">LAP
</w:t>
            </w:r>
          </w:p>
          <w:p>
            <w:pPr/>
            <w:r>
              <w:rPr/>
              <w:t xml:space="preserve">Elektrotableau Kasten-Verkleidung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MaP-3</w:t>
            </w:r>
          </w:p>
        </w:tc>
        <w:tc>
          <w:tcPr>
            <w:shd w:val="clear" w:fill="red"/>
            <w:noWrap/>
          </w:tcPr>
          <w:p>
            <w:pPr/>
            <w:r>
              <w:rPr/>
              <w:t xml:space="preserve">Reduit
</w:t>
            </w:r>
          </w:p>
          <w:p>
            <w:pPr/>
            <w:r>
              <w:rPr/>
              <w:t xml:space="preserve">EG
</w:t>
            </w:r>
          </w:p>
          <w:p>
            <w:pPr/>
            <w:r>
              <w:rPr/>
              <w:t xml:space="preserve">Boden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MaP-4</w:t>
            </w:r>
          </w:p>
        </w:tc>
        <w:tc>
          <w:tcPr>
            <w:shd w:val="clear" w:fill="red"/>
            <w:noWrap/>
          </w:tcPr>
          <w:p>
            <w:pPr/>
            <w:r>
              <w:rPr/>
              <w:t xml:space="preserve">Küche/WC
</w:t>
            </w:r>
          </w:p>
          <w:p>
            <w:pPr/>
            <w:r>
              <w:rPr/>
              <w:t xml:space="preserve">EG
</w:t>
            </w:r>
          </w:p>
          <w:p>
            <w:pPr/>
            <w:r>
              <w:rPr/>
              <w:t xml:space="preserve">Boden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green"/>
            <w:noWrap/>
          </w:tcPr>
          <w:p>
            <w:pPr/>
            <w:r>
              <w:rPr/>
              <w:t xml:space="preserve">MaP-5</w:t>
            </w:r>
          </w:p>
        </w:tc>
        <w:tc>
          <w:tcPr>
            <w:shd w:val="clear" w:fill="green"/>
            <w:noWrap/>
          </w:tcPr>
          <w:p>
            <w:pPr/>
            <w:r>
              <w:rPr/>
              <w:t xml:space="preserve">Ganzes Haus
</w:t>
            </w:r>
          </w:p>
          <w:p>
            <w:pPr/>
            <w:r>
              <w:rPr/>
              <w:t xml:space="preserve">UG-DG
</w:t>
            </w:r>
          </w:p>
          <w:p>
            <w:pPr/>
            <w:r>
              <w:rPr/>
              <w:t xml:space="preserve">Fenster
</w:t>
            </w:r>
          </w:p>
        </w:tc>
        <w:tc>
          <w:tcPr>
            <w:shd w:val="clear" w:fill="green"/>
            <w:noWrap/>
          </w:tcPr>
          <w:p>
            <w:pPr/>
            <w:r>
              <w:rPr/>
              <w:t xml:space="preserve">VM-7
</w:t>
            </w:r>
          </w:p>
          <w:p>
            <w:pPr/>
            <w:r>
              <w:rPr/>
              <w:t xml:space="preserve">Fenster Kitt
</w:t>
            </w:r>
          </w:p>
          <w:p>
            <w:pPr/>
            <w:r>
              <w:rPr/>
              <w:t xml:space="preserve">Fenster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1" o:title=""/>
                </v:shape>
              </w:pict>
              <w:t xml:space="preserve"/>
            </w:r>
          </w:p>
        </w:tc>
        <w:tc>
          <w:tcPr>
            <w:shd w:val="clear" w:fill="green"/>
            <w:noWrap/>
          </w:tcPr>
          <w:p>
            <w:pPr/>
            <w:r>
              <w:rPr/>
              <w:t xml:space="preserve"/>
              <w:pict>
                <v:shape type="#_x0000_t75" style="width:100px;height:150px" stroked="f" filled="f">
                  <v:imagedata r:id="rId32" o:title=""/>
                </v:shape>
              </w:pict>
              <w:t xml:space="preserve"/>
            </w:r>
          </w:p>
        </w:tc>
      </w:tr>
      <w:tr>
        <w:trPr/>
        <w:tc>
          <w:tcPr>
            <w:shd w:val="clear" w:fill="orange"/>
            <w:noWrap/>
          </w:tcPr>
          <w:p>
            <w:pPr/>
            <w:r>
              <w:rPr/>
              <w:t xml:space="preserve">MaP-6</w:t>
            </w:r>
          </w:p>
        </w:tc>
        <w:tc>
          <w:tcPr>
            <w:shd w:val="clear" w:fill="orange"/>
            <w:noWrap/>
          </w:tcPr>
          <w:p>
            <w:pPr/>
            <w:r>
              <w:rPr/>
              <w:t xml:space="preserve">Küche/ Nebenraum
</w:t>
            </w:r>
          </w:p>
          <w:p>
            <w:pPr/>
            <w:r>
              <w:rPr/>
              <w:t xml:space="preserve">EG
</w:t>
            </w:r>
          </w:p>
          <w:p>
            <w:pPr/>
            <w:r>
              <w:rPr/>
              <w:t xml:space="preserve">Wand/ Decke
</w:t>
            </w:r>
          </w:p>
        </w:tc>
        <w:tc>
          <w:tcPr>
            <w:shd w:val="clear" w:fill="orange"/>
            <w:noWrap/>
          </w:tcPr>
          <w:p>
            <w:pPr/>
            <w:r>
              <w:rPr/>
              <w:t xml:space="preserve">VM-15
</w:t>
            </w:r>
          </w:p>
          <w:p>
            <w:pPr/>
            <w:r>
              <w:rPr/>
              <w:t xml:space="preserve">Faserzement
</w:t>
            </w:r>
          </w:p>
          <w:p>
            <w:pPr/>
            <w:r>
              <w:rPr/>
              <w:t xml:space="preserve">Wand/ Decke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3" o:title=""/>
                </v:shape>
              </w:pict>
              <w:t xml:space="preserve"/>
            </w:r>
          </w:p>
        </w:tc>
        <w:tc>
          <w:tcPr>
            <w:shd w:val="clear" w:fill="orange"/>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MaP-7</w:t>
            </w:r>
          </w:p>
        </w:tc>
        <w:tc>
          <w:tcPr>
            <w:shd w:val="clear" w:fill="red"/>
            <w:noWrap/>
          </w:tcPr>
          <w:p>
            <w:pPr/>
            <w:r>
              <w:rPr/>
              <w:t xml:space="preserve">Nebenraum
</w:t>
            </w:r>
          </w:p>
          <w:p>
            <w:pPr/>
            <w:r>
              <w:rPr/>
              <w:t xml:space="preserve">EG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MaP-8</w:t>
            </w:r>
          </w:p>
        </w:tc>
        <w:tc>
          <w:tcPr>
            <w:shd w:val="clear" w:fill="red"/>
            <w:noWrap/>
          </w:tcPr>
          <w:p>
            <w:pPr/>
            <w:r>
              <w:rPr/>
              <w:t xml:space="preserve">Sockel
</w:t>
            </w:r>
          </w:p>
          <w:p>
            <w:pPr/>
            <w:r>
              <w:rPr/>
              <w:t xml:space="preserve">EG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orange"/>
            <w:noWrap/>
          </w:tcPr>
          <w:p>
            <w:pPr/>
            <w:r>
              <w:rPr/>
              <w:t xml:space="preserve">VB-1</w:t>
            </w:r>
          </w:p>
        </w:tc>
        <w:tc>
          <w:tcPr>
            <w:shd w:val="clear" w:fill="orange"/>
            <w:noWrap/>
          </w:tcPr>
          <w:p>
            <w:pPr/>
            <w:r>
              <w:rPr/>
              <w:t xml:space="preserve">Unterdach
</w:t>
            </w:r>
          </w:p>
          <w:p>
            <w:pPr/>
            <w:r>
              <w:rPr/>
              <w:t xml:space="preserve">DG
</w:t>
            </w:r>
          </w:p>
          <w:p>
            <w:pPr/>
            <w:r>
              <w:rPr/>
              <w:t xml:space="preserve">Unterdach
</w:t>
            </w:r>
          </w:p>
        </w:tc>
        <w:tc>
          <w:tcPr>
            <w:shd w:val="clear" w:fill="orange"/>
            <w:noWrap/>
          </w:tcPr>
          <w:p>
            <w:pPr/>
            <w:r>
              <w:rPr/>
              <w:t xml:space="preserve">VM-6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9" o:title=""/>
                </v:shape>
              </w:pict>
              <w:t xml:space="preserve"/>
            </w:r>
          </w:p>
        </w:tc>
        <w:tc>
          <w:tcPr>
            <w:shd w:val="clear" w:fill="orange"/>
            <w:noWrap/>
          </w:tcPr>
          <w:p>
            <w:pPr/>
            <w:r>
              <w:rPr/>
              <w:t xml:space="preserve"/>
              <w:pict>
                <v:shape type="#_x0000_t75" style="width:100px;height:150px" stroked="f" filled="f">
                  <v:imagedata r:id="rId40" o:title=""/>
                </v:shape>
              </w:pict>
              <w:t xml:space="preserve"/>
            </w:r>
          </w:p>
        </w:tc>
      </w:tr>
      <w:tr>
        <w:trPr/>
        <w:tc>
          <w:tcPr>
            <w:shd w:val="clear" w:fill="orange"/>
            <w:noWrap/>
          </w:tcPr>
          <w:p>
            <w:pPr/>
            <w:r>
              <w:rPr/>
              <w:t xml:space="preserve">VB-2</w:t>
            </w:r>
          </w:p>
        </w:tc>
        <w:tc>
          <w:tcPr>
            <w:shd w:val="clear" w:fill="orange"/>
            <w:noWrap/>
          </w:tcPr>
          <w:p>
            <w:pPr/>
            <w:r>
              <w:rPr/>
              <w:t xml:space="preserve">Kamin Warmluft Offen
</w:t>
            </w:r>
          </w:p>
          <w:p>
            <w:pPr/>
            <w:r>
              <w:rPr/>
              <w:t xml:space="preserve">DG
</w:t>
            </w:r>
          </w:p>
          <w:p>
            <w:pPr/>
            <w:r>
              <w:rPr/>
              <w:t xml:space="preserve">Wand
</w:t>
            </w:r>
          </w:p>
        </w:tc>
        <w:tc>
          <w:tcPr>
            <w:shd w:val="clear" w:fill="orange"/>
            <w:noWrap/>
          </w:tcPr>
          <w:p>
            <w:pPr/>
            <w:r>
              <w:rPr/>
              <w:t xml:space="preserve">VM-9
</w:t>
            </w:r>
          </w:p>
          <w:p>
            <w:pPr/>
            <w:r>
              <w:rPr/>
              <w:t xml:space="preserve">Faserzement
</w:t>
            </w:r>
          </w:p>
          <w:p>
            <w:pPr/>
            <w:r>
              <w:rPr/>
              <w:t xml:space="preserve">Kamin Warmluft Offen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1" o:title=""/>
                </v:shape>
              </w:pict>
              <w:t xml:space="preserve"/>
            </w:r>
          </w:p>
        </w:tc>
        <w:tc>
          <w:tcPr>
            <w:shd w:val="clear" w:fill="orange"/>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VB-3</w:t>
            </w:r>
          </w:p>
        </w:tc>
        <w:tc>
          <w:tcPr>
            <w:shd w:val="clear" w:fill="red"/>
            <w:noWrap/>
          </w:tcPr>
          <w:p>
            <w:pPr/>
            <w:r>
              <w:rPr/>
              <w:t xml:space="preserve">Schlafzimmer
</w:t>
            </w:r>
          </w:p>
          <w:p>
            <w:pPr/>
            <w:r>
              <w:rPr/>
              <w:t xml:space="preserve">OG
</w:t>
            </w:r>
          </w:p>
          <w:p>
            <w:pPr/>
            <w:r>
              <w:rPr/>
              <w:t xml:space="preserve">Wand/ Decke/ Boden
</w:t>
            </w:r>
          </w:p>
        </w:tc>
        <w:tc>
          <w:tcPr>
            <w:shd w:val="clear" w:fill="red"/>
            <w:noWrap/>
          </w:tcPr>
          <w:p>
            <w:pPr/>
            <w:r>
              <w:rPr/>
              <w:t xml:space="preserve">VM-10
</w:t>
            </w:r>
          </w:p>
          <w:p>
            <w:pPr/>
            <w:r>
              <w:rPr/>
              <w:t xml:space="preserve">Verputz
</w:t>
            </w:r>
          </w:p>
          <w:p>
            <w:pPr/>
            <w:r>
              <w:rPr/>
              <w:t xml:space="preserve">Wand/ Decke/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VB-4</w:t>
            </w:r>
          </w:p>
        </w:tc>
        <w:tc>
          <w:tcPr>
            <w:shd w:val="clear" w:fill="red"/>
            <w:noWrap/>
          </w:tcPr>
          <w:p>
            <w:pPr/>
            <w:r>
              <w:rPr/>
              <w:t xml:space="preserve">Badezimmer
</w:t>
            </w:r>
          </w:p>
          <w:p>
            <w:pPr/>
            <w:r>
              <w:rPr/>
              <w:t xml:space="preserve">OG
</w:t>
            </w:r>
          </w:p>
          <w:p>
            <w:pPr/>
            <w:r>
              <w:rPr/>
              <w:t xml:space="preserve">Wand/ Decke/ Boden
</w:t>
            </w:r>
          </w:p>
        </w:tc>
        <w:tc>
          <w:tcPr>
            <w:shd w:val="clear" w:fill="red"/>
            <w:noWrap/>
          </w:tcPr>
          <w:p>
            <w:pPr/>
            <w:r>
              <w:rPr/>
              <w:t xml:space="preserve">VM-11
</w:t>
            </w:r>
          </w:p>
          <w:p>
            <w:pPr/>
            <w:r>
              <w:rPr/>
              <w:t xml:space="preserve">Fliesenkleber
</w:t>
            </w:r>
          </w:p>
          <w:p>
            <w:pPr/>
            <w:r>
              <w:rPr/>
              <w:t xml:space="preserve">Wand/ Decke/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green"/>
            <w:noWrap/>
          </w:tcPr>
          <w:p>
            <w:pPr/>
            <w:r>
              <w:rPr/>
              <w:t xml:space="preserve">VB-5</w:t>
            </w:r>
          </w:p>
        </w:tc>
        <w:tc>
          <w:tcPr>
            <w:shd w:val="clear" w:fill="green"/>
            <w:noWrap/>
          </w:tcPr>
          <w:p>
            <w:pPr/>
            <w:r>
              <w:rPr/>
              <w:t xml:space="preserve">Reduit
</w:t>
            </w:r>
          </w:p>
          <w:p>
            <w:pPr/>
            <w:r>
              <w:rPr/>
              <w:t xml:space="preserve">EG
</w:t>
            </w:r>
          </w:p>
          <w:p>
            <w:pPr/>
            <w:r>
              <w:rPr/>
              <w:t xml:space="preserve">LAP
</w:t>
            </w:r>
          </w:p>
        </w:tc>
        <w:tc>
          <w:tcPr>
            <w:shd w:val="clear" w:fill="green"/>
            <w:noWrap/>
          </w:tcPr>
          <w:p>
            <w:pPr/>
            <w:r>
              <w:rPr/>
              <w:t xml:space="preserve">VM-12
</w:t>
            </w:r>
          </w:p>
          <w:p>
            <w:pPr/>
            <w:r>
              <w:rPr/>
              <w:t xml:space="preserve">Asbest Karton
</w:t>
            </w:r>
          </w:p>
          <w:p>
            <w:pPr/>
            <w:r>
              <w:rPr/>
              <w:t xml:space="preserve">Elektrotableau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7" o:title=""/>
                </v:shape>
              </w:pict>
              <w:t xml:space="preserve"/>
            </w:r>
          </w:p>
        </w:tc>
        <w:tc>
          <w:tcPr>
            <w:shd w:val="clear" w:fill="green"/>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VB-7</w:t>
            </w:r>
          </w:p>
        </w:tc>
        <w:tc>
          <w:tcPr>
            <w:shd w:val="clear" w:fill="orange"/>
            <w:noWrap/>
          </w:tcPr>
          <w:p>
            <w:pPr/>
            <w:r>
              <w:rPr/>
              <w:t xml:space="preserve">WC
</w:t>
            </w:r>
          </w:p>
          <w:p>
            <w:pPr/>
            <w:r>
              <w:rPr/>
              <w:t xml:space="preserve">EG
</w:t>
            </w:r>
          </w:p>
          <w:p>
            <w:pPr/>
            <w:r>
              <w:rPr/>
              <w:t xml:space="preserve">Fallrohr
</w:t>
            </w:r>
          </w:p>
        </w:tc>
        <w:tc>
          <w:tcPr>
            <w:shd w:val="clear" w:fill="orange"/>
            <w:noWrap/>
          </w:tcPr>
          <w:p>
            <w:pPr/>
            <w:r>
              <w:rPr/>
              <w:t xml:space="preserve">VM-14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VB-9</w:t>
            </w:r>
          </w:p>
        </w:tc>
        <w:tc>
          <w:tcPr>
            <w:shd w:val="clear" w:fill="red"/>
            <w:noWrap/>
          </w:tcPr>
          <w:p>
            <w:pPr/>
            <w:r>
              <w:rPr/>
              <w:t xml:space="preserve">Wohnzimmer
</w:t>
            </w:r>
          </w:p>
          <w:p>
            <w:pPr/>
            <w:r>
              <w:rPr/>
              <w:t xml:space="preserve">EG
</w:t>
            </w:r>
          </w:p>
          <w:p>
            <w:pPr/>
            <w:r>
              <w:rPr/>
              <w:t xml:space="preserve">Decke/ Wand/ Boden
</w:t>
            </w:r>
          </w:p>
        </w:tc>
        <w:tc>
          <w:tcPr>
            <w:shd w:val="clear" w:fill="red"/>
            <w:noWrap/>
          </w:tcPr>
          <w:p>
            <w:pPr/>
            <w:r>
              <w:rPr/>
              <w:t xml:space="preserve">VM-16
</w:t>
            </w:r>
          </w:p>
          <w:p>
            <w:pPr/>
            <w:r>
              <w:rPr/>
              <w:t xml:space="preserve">Verputz
</w:t>
            </w:r>
          </w:p>
          <w:p>
            <w:pPr/>
            <w:r>
              <w:rPr/>
              <w:t xml:space="preserve">Decke/ Wand/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VB-10</w:t>
            </w:r>
          </w:p>
        </w:tc>
        <w:tc>
          <w:tcPr>
            <w:shd w:val="clear" w:fill="orange"/>
            <w:noWrap/>
          </w:tcPr>
          <w:p>
            <w:pPr/>
            <w:r>
              <w:rPr/>
              <w:t xml:space="preserve">Wohnzimmer
</w:t>
            </w:r>
          </w:p>
          <w:p>
            <w:pPr/>
            <w:r>
              <w:rPr/>
              <w:t xml:space="preserve">EG
</w:t>
            </w:r>
          </w:p>
          <w:p>
            <w:pPr/>
            <w:r>
              <w:rPr/>
              <w:t xml:space="preserve">Warmluft Offen
</w:t>
            </w:r>
          </w:p>
        </w:tc>
        <w:tc>
          <w:tcPr>
            <w:shd w:val="clear" w:fill="orange"/>
            <w:noWrap/>
          </w:tcPr>
          <w:p>
            <w:pPr/>
            <w:r>
              <w:rPr/>
              <w:t xml:space="preserve">VM-17
</w:t>
            </w:r>
          </w:p>
          <w:p>
            <w:pPr/>
            <w:r>
              <w:rPr/>
              <w:t xml:space="preserve">Faserzement
</w:t>
            </w:r>
          </w:p>
          <w:p>
            <w:pPr/>
            <w:r>
              <w:rPr/>
              <w:t xml:space="preserve">Warmluft Offen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VB-11</w:t>
            </w:r>
          </w:p>
        </w:tc>
        <w:tc>
          <w:tcPr>
            <w:shd w:val="clear" w:fill="red"/>
            <w:noWrap/>
          </w:tcPr>
          <w:p>
            <w:pPr/>
            <w:r>
              <w:rPr/>
              <w:t xml:space="preserve">Keller
</w:t>
            </w:r>
          </w:p>
          <w:p>
            <w:pPr/>
            <w:r>
              <w:rPr/>
              <w:t xml:space="preserve">UG
</w:t>
            </w:r>
          </w:p>
          <w:p>
            <w:pPr/>
            <w:r>
              <w:rPr/>
              <w:t xml:space="preserve">Decke/ Wand/ Boden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orange"/>
            <w:noWrap/>
          </w:tcPr>
          <w:p>
            <w:pPr/>
            <w:r>
              <w:rPr/>
              <w:t xml:space="preserve">VB-12</w:t>
            </w:r>
          </w:p>
        </w:tc>
        <w:tc>
          <w:tcPr>
            <w:shd w:val="clear" w:fill="orange"/>
            <w:noWrap/>
          </w:tcPr>
          <w:p>
            <w:pPr/>
            <w:r>
              <w:rPr/>
              <w:t xml:space="preserve">Dach
</w:t>
            </w:r>
          </w:p>
          <w:p>
            <w:pPr/>
            <w:r>
              <w:rPr/>
              <w:t xml:space="preserve">DG
</w:t>
            </w:r>
          </w:p>
          <w:p>
            <w:pPr/>
            <w:r>
              <w:rPr/>
              <w:t xml:space="preserve">Dach
</w:t>
            </w:r>
          </w:p>
        </w:tc>
        <w:tc>
          <w:tcPr>
            <w:shd w:val="clear" w:fill="orange"/>
            <w:noWrap/>
          </w:tcPr>
          <w:p>
            <w:pPr/>
            <w:r>
              <w:rPr/>
              <w:t xml:space="preserve">VM-18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7" o:title=""/>
                </v:shape>
              </w:pict>
              <w:t xml:space="preserve"/>
            </w:r>
          </w:p>
        </w:tc>
        <w:tc>
          <w:tcPr>
            <w:shd w:val="clear" w:fill="orange"/>
            <w:noWrap/>
          </w:tcPr>
          <w:p>
            <w:pPr/>
            <w:r>
              <w:rPr/>
              <w:t xml:space="preserve"/>
              <w:pict>
                <v:shape type="#_x0000_t75" style="width:100px;height:150px" stroked="f" filled="f">
                  <v:imagedata r:id="rId5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677.96610169492px;height:900px" stroked="f" filled="f">
            <v:imagedata r:id="rId22"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