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Dorfstrasse 84, 8954 Geroldswil,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646</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Tina Haldemann</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Tina Haldemann</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23 December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w:r>
      <w:br/>
      <w:r>
        <w:rPr>
          <w:sz w:val="24"/>
          <w:szCs w:val="24"/>
        </w:rPr>
        <w:t xml:space="preserve"/>
      </w:r>
      <w:br/>
      <w:r>
        <w:rPr>
          <w:sz w:val="24"/>
          <w:szCs w:val="24"/>
        </w:rPr>
        <w:t xml:space="preserve">Faserzement aus Map 17 kann durch instruierte Handwerker unter Einhaltung der Richtlinien 33031 rückgebaut werden. Es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Gipskarton</w:t>
      </w:r>
      <w:r>
        <w:rPr>
          <w:sz w:val="24"/>
          <w:szCs w:val="24"/>
        </w:rPr>
        <w:t xml:space="preserve"/>
      </w:r>
      <w:br/>
      <w:r>
        <w:rPr>
          <w:sz w:val="24"/>
          <w:szCs w:val="24"/>
        </w:rPr>
        <w:t xml:space="preserve"/>
      </w:r>
      <w:br/>
      <w:r>
        <w:rPr>
          <w:sz w:val="24"/>
          <w:szCs w:val="24"/>
        </w:rPr>
        <w:t xml:space="preserve">Gipskarton aus Map 18 muss durch Schadstoffsanierer gemäss Richtlinien 2120 ausgebaut werden. Das Material ist anschliessend unter dem LVA-Code 17 08 02 als Bausperrgut zu entsorgen.</w:t>
      </w:r>
      <w:br/>
      <w:r>
        <w:rPr>
          <w:sz w:val="24"/>
          <w:szCs w:val="24"/>
        </w:rPr>
        <w:t xml:space="preserve"/>
      </w:r>
      <w:br/>
      <w:r>
        <w:rPr>
          <w:sz w:val="24"/>
          <w:szCs w:val="24"/>
          <w:b w:val="1"/>
          <w:bCs w:val="1"/>
        </w:rPr>
        <w:t xml:space="preserve"/>
      </w:r>
      <w:r>
        <w:rPr>
          <w:sz w:val="24"/>
          <w:szCs w:val="24"/>
          <w:b w:val="1"/>
          <w:bCs w:val="1"/>
        </w:rPr>
        <w:t xml:space="preserve">Kunststoff</w:t>
      </w:r>
      <w:r>
        <w:rPr>
          <w:sz w:val="24"/>
          <w:szCs w:val="24"/>
        </w:rPr>
        <w:t xml:space="preserve"/>
      </w:r>
      <w:br/>
      <w:r>
        <w:rPr>
          <w:sz w:val="24"/>
          <w:szCs w:val="24"/>
        </w:rPr>
        <w:t xml:space="preserve"/>
      </w:r>
      <w:br/>
      <w:r>
        <w:rPr>
          <w:sz w:val="24"/>
          <w:szCs w:val="24"/>
        </w:rPr>
        <w:t xml:space="preserve">Kunststoff aus Map 19 ist durch instruierte Handwerker gemäss Richtlinien 4455 zu sanieren. Der LVA-Code 17 02 03 gibt an, dass das Material in Deponien der Typen D oder E entsorgt werden soll.</w:t>
      </w:r>
      <w:br/>
      <w:r>
        <w:rPr>
          <w:sz w:val="24"/>
          <w:szCs w:val="24"/>
        </w:rPr>
        <w:t xml:space="preserve"/>
      </w:r>
      <w:br/>
      <w:r>
        <w:rPr>
          <w:sz w:val="24"/>
          <w:szCs w:val="24"/>
          <w:b w:val="1"/>
          <w:bCs w:val="1"/>
        </w:rPr>
        <w:t xml:space="preserve"/>
      </w:r>
      <w:r>
        <w:rPr>
          <w:sz w:val="24"/>
          <w:szCs w:val="24"/>
          <w:b w:val="1"/>
          <w:bCs w:val="1"/>
        </w:rPr>
        <w:t xml:space="preserve">Mineralwolle</w:t>
      </w:r>
      <w:r>
        <w:rPr>
          <w:sz w:val="24"/>
          <w:szCs w:val="24"/>
        </w:rPr>
        <w:t xml:space="preserve"/>
      </w:r>
      <w:br/>
      <w:r>
        <w:rPr>
          <w:sz w:val="24"/>
          <w:szCs w:val="24"/>
        </w:rPr>
        <w:t xml:space="preserve"/>
      </w:r>
      <w:br/>
      <w:r>
        <w:rPr>
          <w:sz w:val="24"/>
          <w:szCs w:val="24"/>
        </w:rPr>
        <w:t xml:space="preserve">Mineralwolle aus Map 20 muss durch Schadstoffsanierer nach Richtlinien 0101 entfernt werden. Das Material ist unter dem LVA-Code 17 06 04 in dafür geeigneten Anlagen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Küche
</w:t>
            </w:r>
          </w:p>
          <w:p>
            <w:pPr/>
            <w:r>
              <w:rPr/>
              <w:t xml:space="preserve">1.OG
</w:t>
            </w:r>
          </w:p>
          <w:p>
            <w:pPr/>
            <w:r>
              <w:rPr/>
              <w:t xml:space="preserve">Decke
</w:t>
            </w:r>
          </w:p>
        </w:tc>
        <w:tc>
          <w:tcPr>
            <w:shd w:val="clear" w:fill="red"/>
            <w:noWrap/>
          </w:tcPr>
          <w:p>
            <w:pPr/>
            <w:r>
              <w:rPr/>
              <w:t xml:space="preserve">VM-1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Küche
</w:t>
            </w:r>
          </w:p>
          <w:p>
            <w:pPr/>
            <w:r>
              <w:rPr/>
              <w:t xml:space="preserve">1.OG
</w:t>
            </w:r>
          </w:p>
          <w:p>
            <w:pPr/>
            <w:r>
              <w:rPr/>
              <w:t xml:space="preserve">Wand
</w:t>
            </w:r>
          </w:p>
        </w:tc>
        <w:tc>
          <w:tcPr>
            <w:shd w:val="clear" w:fill="red"/>
            <w:noWrap/>
          </w:tcPr>
          <w:p>
            <w:pPr/>
            <w:r>
              <w:rPr/>
              <w:t xml:space="preserve">VM-2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Küche
</w:t>
            </w:r>
          </w:p>
          <w:p>
            <w:pPr/>
            <w:r>
              <w:rPr/>
              <w:t xml:space="preserve">1.OG
</w:t>
            </w:r>
          </w:p>
          <w:p>
            <w:pPr/>
            <w:r>
              <w:rPr/>
              <w:t xml:space="preserve">Wand
</w:t>
            </w:r>
          </w:p>
        </w:tc>
        <w:tc>
          <w:tcPr>
            <w:shd w:val="clear" w:fill="red"/>
            <w:noWrap/>
          </w:tcPr>
          <w:p>
            <w:pPr/>
            <w:r>
              <w:rPr/>
              <w:t xml:space="preserve">VM-3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MaP-4</w:t>
            </w:r>
          </w:p>
        </w:tc>
        <w:tc>
          <w:tcPr>
            <w:shd w:val="clear" w:fill="red"/>
            <w:noWrap/>
          </w:tcPr>
          <w:p>
            <w:pPr/>
            <w:r>
              <w:rPr/>
              <w:t xml:space="preserve">Küche
</w:t>
            </w:r>
          </w:p>
          <w:p>
            <w:pPr/>
            <w:r>
              <w:rPr/>
              <w:t xml:space="preserve">1.OG
</w:t>
            </w:r>
          </w:p>
          <w:p>
            <w:pPr/>
            <w:r>
              <w:rPr/>
              <w:t xml:space="preserve">Boden
</w:t>
            </w:r>
          </w:p>
        </w:tc>
        <w:tc>
          <w:tcPr>
            <w:shd w:val="clear" w:fill="red"/>
            <w:noWrap/>
          </w:tcPr>
          <w:p>
            <w:pPr/>
            <w:r>
              <w:rPr/>
              <w:t xml:space="preserve">VM-4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