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Haller 63, 8424 Embrach,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2186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645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mit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Sascha Josic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Claudio &amp; Claudia  Mari Im Haller 63 8424 Embrach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Sascha Josic</w:t>
            </w:r>
            <w:bookmarkEnd w:id="12"/>
            <w:r w:rsidRPr="00FF365E">
              <w:rPr>
                <w:sz w:val="24"/>
                <w:szCs w:val="24"/>
                <w:lang w:val="en-GB"/>
              </w:rPr>
              <w:t xml:space="preserve"> </w:t>
            </w:r>
            <w:bookmarkStart w:id="13" w:name="OLE_LINK13"/>
            <w:r w:rsidRPr="00FF365E">
              <w:rPr>
                <w:sz w:val="24"/>
                <w:szCs w:val="24"/>
                <w:lang w:val="en-GB"/>
              </w:rPr>
              <w:t xml:space="preserve">Claudio &amp; Claudia  Mari Im Haller 63 8424 Embrach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 Es sollte nur Fachpersonal herangezogen werden, um eine sachgemässe Beseitigung sicherzustellen.  </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w:t>
      </w:r>
      <w:br/>
      <w:r>
        <w:rPr>
          <w:sz w:val="24"/>
          <w:szCs w:val="24"/>
        </w:rPr>
        <w:t xml:space="preserve">Kunststoff aus Probe-ID 23 ist in Menge vorhanden und muss nach den DKS-Vorgaben behandelt werden. Die Instruierung der Handwerker ist notwendig, um die Richtlinien 44041 zu befolgen und den LVA-Code 08 01 11 zu beachten.   </w:t>
      </w:r>
      <w:br/>
      <w:r>
        <w:rPr>
          <w:sz w:val="24"/>
          <w:szCs w:val="24"/>
        </w:rPr>
        <w:t xml:space="preserve"/>
      </w:r>
      <w:br/>
      <w:r>
        <w:rPr>
          <w:sz w:val="24"/>
          <w:szCs w:val="24"/>
        </w:rPr>
        <w:t xml:space="preserve">Bitte beachten Sie, dass die Informationen, die ich Ihnen gegeben habe, fiktiv sind, da ich keine spezifischen Daten zur Verfügung habe.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Kinderzimmer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