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Hubschberg 2, 8714 Hombrechtikon,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4026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644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1080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Martin Städler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Martin Städler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12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MaP-3</w:t>
            </w:r>
          </w:p>
        </w:tc>
        <w:tc>
          <w:tcPr>
            <w:noWrap/>
          </w:tcPr>
          <w:p>
            <w:pPr/>
            <w:r>
              <w:rPr/>
              <w:t xml:space="preserve">Schlafzimmer / Gang
</w:t>
            </w:r>
          </w:p>
          <w:p>
            <w:pPr/>
            <w:r>
              <w:rPr/>
              <w:t xml:space="preserve">EG
</w:t>
            </w:r>
          </w:p>
          <w:p>
            <w:pPr/>
            <w:r>
              <w:rPr/>
              <w:t xml:space="preserve">Boden
</w:t>
            </w:r>
          </w:p>
        </w:tc>
        <w:tc>
          <w:tcPr>
            <w:noWrap/>
          </w:tcPr>
          <w:p>
            <w:pPr/>
            <w:r>
              <w:rPr/>
              <w:t xml:space="preserve">Boden</w:t>
            </w:r>
          </w:p>
        </w:tc>
        <w:tc>
          <w:tcPr>
            <w:noWrap/>
          </w:tcPr>
          <w:p>
            <w:pPr/>
            <w:r>
              <w:rPr/>
              <w:t xml:space="preserve">Klebstoffe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MaP-18</w:t>
            </w:r>
          </w:p>
        </w:tc>
        <w:tc>
          <w:tcPr>
            <w:noWrap/>
          </w:tcPr>
          <w:p>
            <w:pPr/>
            <w:r>
              <w:rPr/>
              <w:t xml:space="preserve">Gang  / Schlafzimmer
</w:t>
            </w:r>
          </w:p>
          <w:p>
            <w:pPr/>
            <w:r>
              <w:rPr/>
              <w:t xml:space="preserve">UG
</w:t>
            </w:r>
          </w:p>
          <w:p>
            <w:pPr/>
            <w:r>
              <w:rPr/>
              <w:t xml:space="preserve">Boden
</w:t>
            </w:r>
          </w:p>
        </w:tc>
        <w:tc>
          <w:tcPr>
            <w:noWrap/>
          </w:tcPr>
          <w:p>
            <w:pPr/>
            <w:r>
              <w:rPr/>
              <w:t xml:space="preserve">Boden</w:t>
            </w:r>
          </w:p>
        </w:tc>
        <w:tc>
          <w:tcPr>
            <w:noWrap/>
          </w:tcPr>
          <w:p>
            <w:pPr/>
            <w:r>
              <w:rPr/>
              <w:t xml:space="preserve">Klebstoffe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VB-2</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Gesamtes Haus
</w:t>
            </w:r>
          </w:p>
          <w:p>
            <w:pPr/>
            <w:r>
              <w:rPr/>
              <w:t xml:space="preserve">UG - DG
</w:t>
            </w:r>
          </w:p>
          <w:p>
            <w:pPr/>
            <w:r>
              <w:rPr/>
              <w:t xml:space="preserve">Fallrohr
</w:t>
            </w:r>
          </w:p>
        </w:tc>
        <w:tc>
          <w:tcPr>
            <w:noWrap/>
          </w:tcPr>
          <w:p>
            <w:pPr/>
            <w:r>
              <w:rPr/>
              <w:t xml:space="preserve">Fallrohr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MaP-3</w:t>
            </w:r>
          </w:p>
        </w:tc>
        <w:tc>
          <w:tcPr>
            <w:noWrap/>
          </w:tcPr>
          <w:p>
            <w:pPr/>
            <w:r>
              <w:rPr/>
              <w:t xml:space="preserve">Klebstoffe</w:t>
            </w:r>
          </w:p>
        </w:tc>
        <w:tc>
          <w:tcPr>
            <w:noWrap/>
          </w:tcPr>
          <w:p>
            <w:pPr/>
            <w:r>
              <w:rPr/>
              <w:t xml:space="preserve">33m²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MaP-18</w:t>
            </w:r>
          </w:p>
        </w:tc>
        <w:tc>
          <w:tcPr>
            <w:noWrap/>
          </w:tcPr>
          <w:p>
            <w:pPr/>
            <w:r>
              <w:rPr/>
              <w:t xml:space="preserve">Klebstoffe</w:t>
            </w:r>
          </w:p>
        </w:tc>
        <w:tc>
          <w:tcPr>
            <w:noWrap/>
          </w:tcPr>
          <w:p>
            <w:pPr/>
            <w:r>
              <w:rPr/>
              <w:t xml:space="preserve">25m²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MaP-3</w:t>
      </w:r>
      <w:r>
        <w:rPr>
          <w:sz w:val="24"/>
          <w:szCs w:val="24"/>
        </w:rPr>
        <w:t xml:space="preserve">: Der Klebstoff aus dem Boden des Schlafzimmers und Gangs im Erdgeschoss enthält Asbest. Dieser kann durch Schadstoffsanierer entsprechend den Richtlinien EKAS 6503 Kap. 7 rückgebaut werden und ist mit dem LVA-Code 17 06 05 S zu entsorgen.</w:t>
      </w:r>
      <w:br/>
      <w:r>
        <w:rPr>
          <w:sz w:val="24"/>
          <w:szCs w:val="24"/>
        </w:rPr>
        <w:t xml:space="preserve"/>
      </w:r>
      <w:br/>
      <w:r>
        <w:rPr>
          <w:sz w:val="24"/>
          <w:szCs w:val="24"/>
          <w:b w:val="1"/>
          <w:bCs w:val="1"/>
        </w:rPr>
        <w:t xml:space="preserve"/>
      </w:r>
      <w:r>
        <w:rPr>
          <w:sz w:val="24"/>
          <w:szCs w:val="24"/>
          <w:b w:val="1"/>
          <w:bCs w:val="1"/>
        </w:rPr>
        <w:t xml:space="preserve">MaP-18</w:t>
      </w:r>
      <w:r>
        <w:rPr>
          <w:sz w:val="24"/>
          <w:szCs w:val="24"/>
        </w:rPr>
        <w:t xml:space="preserve">: Der Klebstoff im Boden des Gangs und Schlafzimmers im Untergeschoss weist Asbest auf. Eine Sanierung durch Schadstoffsanierer muss gemäss den Richtlinien EKAS 6503 Kap. 7 erfolgen, und die Entsorgung erfolgt unter dem LVA-Code 17 06 05 S.</w:t>
      </w:r>
      <w:br/>
      <w:r>
        <w:rPr>
          <w:sz w:val="24"/>
          <w:szCs w:val="24"/>
        </w:rPr>
        <w:t xml:space="preserve"/>
      </w:r>
      <w:br/>
      <w:r>
        <w:rPr>
          <w:sz w:val="24"/>
          <w:szCs w:val="24"/>
          <w:b w:val="1"/>
          <w:bCs w:val="1"/>
        </w:rPr>
        <w:t xml:space="preserve"/>
      </w:r>
      <w:r>
        <w:rPr>
          <w:sz w:val="24"/>
          <w:szCs w:val="24"/>
          <w:b w:val="1"/>
          <w:bCs w:val="1"/>
        </w:rPr>
        <w:t xml:space="preserve">VB-2</w:t>
      </w:r>
      <w:r>
        <w:rPr>
          <w:sz w:val="24"/>
          <w:szCs w:val="24"/>
        </w:rPr>
        <w:t xml:space="preserve">: Der LAP im Cheminée des Wohnzimmers im Erdgeschoss ist mit Asbest belastet. Zur Sanierung sind die Vorgaben der Richtlinien 33036 zu beachten und es erfolgt die Entsorgung mit dem LVA-Code 17 06 05 S durch Schadstoffsanierer.</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Das Fallrohr aus Faserzement im gesamten Haus von UG bis DG enthält Asbest. Es soll durch instruierte Handwerker unter Berücksichtigung der Richtlinien 33031 rückgebaut und mit dem LVA-Code 17 06 98 nk in einer Deponie Typ B entsorgt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MaP-2</w:t>
            </w:r>
          </w:p>
        </w:tc>
        <w:tc>
          <w:tcPr>
            <w:shd w:val="clear" w:fill="red"/>
            <w:noWrap/>
          </w:tcPr>
          <w:p>
            <w:pPr/>
            <w:r>
              <w:rPr/>
              <w:t xml:space="preserve">Gang / Treppenhaus
</w:t>
            </w:r>
          </w:p>
          <w:p>
            <w:pPr/>
            <w:r>
              <w:rPr/>
              <w:t xml:space="preserve">DG- UG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MaP-3</w:t>
            </w:r>
          </w:p>
        </w:tc>
        <w:tc>
          <w:tcPr>
            <w:shd w:val="clear" w:fill="red"/>
            <w:noWrap/>
          </w:tcPr>
          <w:p>
            <w:pPr/>
            <w:r>
              <w:rPr/>
              <w:t xml:space="preserve">Schlafzimmer / Gang
</w:t>
            </w:r>
          </w:p>
          <w:p>
            <w:pPr/>
            <w:r>
              <w:rPr/>
              <w:t xml:space="preserve">EG
</w:t>
            </w:r>
          </w:p>
          <w:p>
            <w:pPr/>
            <w:r>
              <w:rPr/>
              <w:t xml:space="preserve">Boden
</w:t>
            </w:r>
          </w:p>
        </w:tc>
        <w:tc>
          <w:tcPr>
            <w:shd w:val="clear" w:fill="red"/>
            <w:noWrap/>
          </w:tcPr>
          <w:p>
            <w:pPr/>
            <w:r>
              <w:rPr/>
              <w:t xml:space="preserve">VM-4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MaP-7</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MaP-8</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MaP-11</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MaP-12</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VM-13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MaP-13</w:t>
            </w:r>
          </w:p>
        </w:tc>
        <w:tc>
          <w:tcPr>
            <w:shd w:val="clear" w:fill="red"/>
            <w:noWrap/>
          </w:tcPr>
          <w:p>
            <w:pPr/>
            <w:r>
              <w:rPr/>
              <w:t xml:space="preserve">Küche / Wohnzimmer
</w:t>
            </w:r>
          </w:p>
          <w:p>
            <w:pPr/>
            <w:r>
              <w:rPr/>
              <w:t xml:space="preserve">EG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MaP-14</w:t>
            </w:r>
          </w:p>
        </w:tc>
        <w:tc>
          <w:tcPr>
            <w:shd w:val="clear" w:fill="red"/>
            <w:noWrap/>
          </w:tcPr>
          <w:p>
            <w:pPr/>
            <w:r>
              <w:rPr/>
              <w:t xml:space="preserve">Küche / Wohnzimmer
</w:t>
            </w:r>
          </w:p>
          <w:p>
            <w:pPr/>
            <w:r>
              <w:rPr/>
              <w:t xml:space="preserve">EG
</w:t>
            </w:r>
          </w:p>
          <w:p>
            <w:pPr/>
            <w:r>
              <w:rPr/>
              <w:t xml:space="preserve">Decke
</w:t>
            </w:r>
          </w:p>
        </w:tc>
        <w:tc>
          <w:tcPr>
            <w:shd w:val="clear" w:fill="red"/>
            <w:noWrap/>
          </w:tcPr>
          <w:p>
            <w:pPr/>
            <w:r>
              <w:rPr/>
              <w:t xml:space="preserve">VM-15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MaP-15</w:t>
            </w:r>
          </w:p>
        </w:tc>
        <w:tc>
          <w:tcPr>
            <w:shd w:val="clear" w:fill="red"/>
            <w:noWrap/>
          </w:tcPr>
          <w:p>
            <w:pPr/>
            <w:r>
              <w:rPr/>
              <w:t xml:space="preserve">Küche / Wohnzimmer / Gang
</w:t>
            </w:r>
          </w:p>
          <w:p>
            <w:pPr/>
            <w:r>
              <w:rPr/>
              <w:t xml:space="preserve">EG
</w:t>
            </w:r>
          </w:p>
          <w:p>
            <w:pPr/>
            <w:r>
              <w:rPr/>
              <w:t xml:space="preserve">Boden
</w:t>
            </w:r>
          </w:p>
        </w:tc>
        <w:tc>
          <w:tcPr>
            <w:shd w:val="clear" w:fill="red"/>
            <w:noWrap/>
          </w:tcPr>
          <w:p>
            <w:pPr/>
            <w:r>
              <w:rPr/>
              <w:t xml:space="preserve">VM-16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MaP-16</w:t>
            </w:r>
          </w:p>
        </w:tc>
        <w:tc>
          <w:tcPr>
            <w:shd w:val="clear" w:fill="red"/>
            <w:noWrap/>
          </w:tcPr>
          <w:p>
            <w:pPr/>
            <w:r>
              <w:rPr/>
              <w:t xml:space="preserve">Dusche
</w:t>
            </w:r>
          </w:p>
          <w:p>
            <w:pPr/>
            <w:r>
              <w:rPr/>
              <w:t xml:space="preserve">UG
</w:t>
            </w:r>
          </w:p>
          <w:p>
            <w:pPr/>
            <w:r>
              <w:rPr/>
              <w:t xml:space="preserve">Wand / Boden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MaP-17</w:t>
            </w:r>
          </w:p>
        </w:tc>
        <w:tc>
          <w:tcPr>
            <w:shd w:val="clear" w:fill="red"/>
            <w:noWrap/>
          </w:tcPr>
          <w:p>
            <w:pPr/>
            <w:r>
              <w:rPr/>
              <w:t xml:space="preserve">Dusche / Schlafzimmer
</w:t>
            </w:r>
          </w:p>
          <w:p>
            <w:pPr/>
            <w:r>
              <w:rPr/>
              <w:t xml:space="preserve">UG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MaP-18</w:t>
            </w:r>
          </w:p>
        </w:tc>
        <w:tc>
          <w:tcPr>
            <w:shd w:val="clear" w:fill="red"/>
            <w:noWrap/>
          </w:tcPr>
          <w:p>
            <w:pPr/>
            <w:r>
              <w:rPr/>
              <w:t xml:space="preserve">Gang  / Schlafzimmer
</w:t>
            </w:r>
          </w:p>
          <w:p>
            <w:pPr/>
            <w:r>
              <w:rPr/>
              <w:t xml:space="preserve">UG
</w:t>
            </w:r>
          </w:p>
          <w:p>
            <w:pPr/>
            <w:r>
              <w:rPr/>
              <w:t xml:space="preserve">Boden
</w:t>
            </w:r>
          </w:p>
        </w:tc>
        <w:tc>
          <w:tcPr>
            <w:shd w:val="clear" w:fill="red"/>
            <w:noWrap/>
          </w:tcPr>
          <w:p>
            <w:pPr/>
            <w:r>
              <w:rPr/>
              <w:t xml:space="preserve">VM-20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MaP-19</w:t>
            </w:r>
          </w:p>
        </w:tc>
        <w:tc>
          <w:tcPr>
            <w:shd w:val="clear" w:fill="red"/>
            <w:noWrap/>
          </w:tcPr>
          <w:p>
            <w:pPr/>
            <w:r>
              <w:rPr/>
              <w:t xml:space="preserve">Gang
</w:t>
            </w:r>
          </w:p>
          <w:p>
            <w:pPr/>
            <w:r>
              <w:rPr/>
              <w:t xml:space="preserve">UG
</w:t>
            </w:r>
          </w:p>
          <w:p>
            <w:pPr/>
            <w:r>
              <w:rPr/>
              <w:t xml:space="preserve">Boden
</w:t>
            </w:r>
          </w:p>
        </w:tc>
        <w:tc>
          <w:tcPr>
            <w:shd w:val="clear" w:fill="red"/>
            <w:noWrap/>
          </w:tcPr>
          <w:p>
            <w:pPr/>
            <w:r>
              <w:rPr/>
              <w:t xml:space="preserve">VM-21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orange"/>
            <w:noWrap/>
          </w:tcPr>
          <w:p>
            <w:pPr/>
            <w:r>
              <w:rPr/>
              <w:t xml:space="preserve">MaP-20</w:t>
            </w:r>
          </w:p>
        </w:tc>
        <w:tc>
          <w:tcPr>
            <w:shd w:val="clear" w:fill="orange"/>
            <w:noWrap/>
          </w:tcPr>
          <w:p>
            <w:pPr/>
            <w:r>
              <w:rPr/>
              <w:t xml:space="preserve">Waschküche
</w:t>
            </w:r>
          </w:p>
          <w:p>
            <w:pPr/>
            <w:r>
              <w:rPr/>
              <w:t xml:space="preserve">UG
</w:t>
            </w:r>
          </w:p>
          <w:p>
            <w:pPr/>
            <w:r>
              <w:rPr/>
              <w:t xml:space="preserve">Boden
</w:t>
            </w:r>
          </w:p>
        </w:tc>
        <w:tc>
          <w:tcPr>
            <w:shd w:val="clear" w:fill="orange"/>
            <w:noWrap/>
          </w:tcPr>
          <w:p>
            <w:pPr/>
            <w:r>
              <w:rPr/>
              <w:t xml:space="preserve">VM-23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7" o:title=""/>
                </v:shape>
              </w:pict>
              <w:t xml:space="preserve"/>
            </w:r>
          </w:p>
        </w:tc>
        <w:tc>
          <w:tcPr>
            <w:shd w:val="clear" w:fill="orange"/>
            <w:noWrap/>
          </w:tcPr>
          <w:p>
            <w:pPr/>
            <w:r>
              <w:rPr/>
              <w:t xml:space="preserve"/>
              <w:pict>
                <v:shape type="#_x0000_t75" style="width:100px;height:150px" stroked="f" filled="f">
                  <v:imagedata r:id="rId58"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9" o:title=""/>
                </v:shape>
              </w:pict>
              <w:t xml:space="preserve"/>
            </w:r>
          </w:p>
        </w:tc>
        <w:tc>
          <w:tcPr>
            <w:shd w:val="clear" w:fill="orange"/>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VB-2</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VM-17
</w:t>
            </w:r>
          </w:p>
          <w:p>
            <w:pPr/>
            <w:r>
              <w:rPr/>
              <w:t xml:space="preserve">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VB-3</w:t>
            </w:r>
          </w:p>
        </w:tc>
        <w:tc>
          <w:tcPr>
            <w:shd w:val="clear" w:fill="orange"/>
            <w:noWrap/>
          </w:tcPr>
          <w:p>
            <w:pPr/>
            <w:r>
              <w:rPr/>
              <w:t xml:space="preserve">Gesamtes Haus
</w:t>
            </w:r>
          </w:p>
          <w:p>
            <w:pPr/>
            <w:r>
              <w:rPr/>
              <w:t xml:space="preserve">UG - DG
</w:t>
            </w:r>
          </w:p>
          <w:p>
            <w:pPr/>
            <w:r>
              <w:rPr/>
              <w:t xml:space="preserve">Fallrohr
</w:t>
            </w:r>
          </w:p>
        </w:tc>
        <w:tc>
          <w:tcPr>
            <w:shd w:val="clear" w:fill="orange"/>
            <w:noWrap/>
          </w:tcPr>
          <w:p>
            <w:pPr/>
            <w:r>
              <w:rPr/>
              <w:t xml:space="preserve">VM-22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