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Leimbachstrasse 39, Zürich,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633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Zwei Wohnungen checken ohne Schadstoffbericht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Philipp Zimmermann</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Philipp Zimmermann</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16 February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Faserzement (Map 17):</w:t>
      </w:r>
      <w:r>
        <w:rPr>
          <w:sz w:val="24"/>
          <w:szCs w:val="24"/>
        </w:rPr>
        <w:t xml:space="preserve"> Faserzement aus Map 17 kann durch instruierte Handwerker unter Einhaltung der Richtlinien 33031 rückgebaut werden. Es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Leitungsisolierung (Map 22):</w:t>
      </w:r>
      <w:r>
        <w:rPr>
          <w:sz w:val="24"/>
          <w:szCs w:val="24"/>
        </w:rPr>
        <w:t xml:space="preserve"> Die Leitungsisolierung aus Map 22 muss durch instruierte Handwerker nach den Richtlinien EAK-Richtlinien rückgebaut werden. Der Abfall ist mit dem LVA-Code 17 06 03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WC
</w:t>
            </w:r>
          </w:p>
          <w:p>
            <w:pPr/>
            <w:r>
              <w:rPr/>
              <w:t xml:space="preserve">2+3 OG
</w:t>
            </w:r>
          </w:p>
          <w:p>
            <w:pPr/>
            <w:r>
              <w:rPr/>
              <w:t xml:space="preserve">Boden
</w:t>
            </w:r>
          </w:p>
        </w:tc>
        <w:tc>
          <w:tcPr>
            <w:shd w:val="clear" w:fill="orange"/>
            <w:noWrap/>
          </w:tcPr>
          <w:p>
            <w:pPr/>
            <w:r>
              <w:rPr/>
              <w:t xml:space="preserve">VM-1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1" o:title=""/>
                </v:shape>
              </w:pict>
              <w:t xml:space="preserve"/>
            </w:r>
          </w:p>
        </w:tc>
        <w:tc>
          <w:tcPr>
            <w:shd w:val="clear" w:fill="orange"/>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WC
</w:t>
            </w:r>
          </w:p>
          <w:p>
            <w:pPr/>
            <w:r>
              <w:rPr/>
              <w:t xml:space="preserve">2+3 OG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WC
</w:t>
            </w:r>
          </w:p>
          <w:p>
            <w:pPr/>
            <w:r>
              <w:rPr/>
              <w:t xml:space="preserve">2+3 OG
</w:t>
            </w:r>
          </w:p>
          <w:p>
            <w:pPr/>
            <w:r>
              <w:rPr/>
              <w:t xml:space="preserve">Sockel
</w:t>
            </w:r>
          </w:p>
        </w:tc>
        <w:tc>
          <w:tcPr>
            <w:shd w:val="clear" w:fill="red"/>
            <w:noWrap/>
          </w:tcPr>
          <w:p>
            <w:pPr/>
            <w:r>
              <w:rPr/>
              <w:t xml:space="preserve">VM-3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WC
</w:t>
            </w:r>
          </w:p>
          <w:p>
            <w:pPr/>
            <w:r>
              <w:rPr/>
              <w:t xml:space="preserve">2+3 OG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WC
</w:t>
            </w:r>
          </w:p>
          <w:p>
            <w:pPr/>
            <w:r>
              <w:rPr/>
              <w:t xml:space="preserve">2+3 OG
</w:t>
            </w:r>
          </w:p>
          <w:p>
            <w:pPr/>
            <w:r>
              <w:rPr/>
              <w:t xml:space="preserve">Decke
</w:t>
            </w:r>
          </w:p>
        </w:tc>
        <w:tc>
          <w:tcPr>
            <w:shd w:val="clear" w:fill="red"/>
            <w:noWrap/>
          </w:tcPr>
          <w:p>
            <w:pPr/>
            <w:r>
              <w:rPr/>
              <w:t xml:space="preserve">VM-5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Bad
</w:t>
            </w:r>
          </w:p>
          <w:p>
            <w:pPr/>
            <w:r>
              <w:rPr/>
              <w:t xml:space="preserve">2+3 OG
</w:t>
            </w:r>
          </w:p>
          <w:p>
            <w:pPr/>
            <w:r>
              <w:rPr/>
              <w:t xml:space="preserve">Wand
</w:t>
            </w:r>
          </w:p>
        </w:tc>
        <w:tc>
          <w:tcPr>
            <w:shd w:val="clear" w:fill="red"/>
            <w:noWrap/>
          </w:tcPr>
          <w:p>
            <w:pPr/>
            <w:r>
              <w:rPr/>
              <w:t xml:space="preserve">VM-6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2+3 OG
</w:t>
            </w:r>
          </w:p>
          <w:p>
            <w:pPr/>
            <w:r>
              <w:rPr/>
              <w:t xml:space="preserve">Decke
</w:t>
            </w:r>
          </w:p>
        </w:tc>
        <w:tc>
          <w:tcPr>
            <w:shd w:val="clear" w:fill="red"/>
            <w:noWrap/>
          </w:tcPr>
          <w:p>
            <w:pPr/>
            <w:r>
              <w:rPr/>
              <w:t xml:space="preserve">VM-7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2+3 OG
</w:t>
            </w:r>
          </w:p>
          <w:p>
            <w:pPr/>
            <w:r>
              <w:rPr/>
              <w:t xml:space="preserve">Wand
</w:t>
            </w:r>
          </w:p>
        </w:tc>
        <w:tc>
          <w:tcPr>
            <w:shd w:val="clear" w:fill="red"/>
            <w:noWrap/>
          </w:tcPr>
          <w:p>
            <w:pPr/>
            <w:r>
              <w:rPr/>
              <w:t xml:space="preserve">VM-8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2+3 OG
</w:t>
            </w:r>
          </w:p>
          <w:p>
            <w:pPr/>
            <w:r>
              <w:rPr/>
              <w:t xml:space="preserve">Wand
</w:t>
            </w:r>
          </w:p>
        </w:tc>
        <w:tc>
          <w:tcPr>
            <w:shd w:val="clear" w:fill="red"/>
            <w:noWrap/>
          </w:tcPr>
          <w:p>
            <w:pPr/>
            <w:r>
              <w:rPr/>
              <w:t xml:space="preserve">VM-9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2+3 OG
</w:t>
            </w:r>
          </w:p>
          <w:p>
            <w:pPr/>
            <w:r>
              <w:rPr/>
              <w:t xml:space="preserve">Sockel
</w:t>
            </w:r>
          </w:p>
        </w:tc>
        <w:tc>
          <w:tcPr>
            <w:shd w:val="clear" w:fill="red"/>
            <w:noWrap/>
          </w:tcPr>
          <w:p>
            <w:pPr/>
            <w:r>
              <w:rPr/>
              <w:t xml:space="preserve">VM-10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2+3 OG
</w:t>
            </w:r>
          </w:p>
          <w:p>
            <w:pPr/>
            <w:r>
              <w:rPr/>
              <w:t xml:space="preserve">Boden
</w:t>
            </w:r>
          </w:p>
        </w:tc>
        <w:tc>
          <w:tcPr>
            <w:shd w:val="clear" w:fill="red"/>
            <w:noWrap/>
          </w:tcPr>
          <w:p>
            <w:pPr/>
            <w:r>
              <w:rPr/>
              <w:t xml:space="preserve">VM-11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2+3 OG
</w:t>
            </w:r>
          </w:p>
          <w:p>
            <w:pPr/>
            <w:r>
              <w:rPr/>
              <w:t xml:space="preserve">Decke
</w:t>
            </w:r>
          </w:p>
        </w:tc>
        <w:tc>
          <w:tcPr>
            <w:shd w:val="clear" w:fill="red"/>
            <w:noWrap/>
          </w:tcPr>
          <w:p>
            <w:pPr/>
            <w:r>
              <w:rPr/>
              <w:t xml:space="preserve">VM-12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Gang
</w:t>
            </w:r>
          </w:p>
          <w:p>
            <w:pPr/>
            <w:r>
              <w:rPr/>
              <w:t xml:space="preserve">2+3 OG
</w:t>
            </w:r>
          </w:p>
          <w:p>
            <w:pPr/>
            <w:r>
              <w:rPr/>
              <w:t xml:space="preserve">Wand
</w:t>
            </w:r>
          </w:p>
        </w:tc>
        <w:tc>
          <w:tcPr>
            <w:shd w:val="clear" w:fill="red"/>
            <w:noWrap/>
          </w:tcPr>
          <w:p>
            <w:pPr/>
            <w:r>
              <w:rPr/>
              <w:t xml:space="preserve">VM-13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Gang
</w:t>
            </w:r>
          </w:p>
          <w:p>
            <w:pPr/>
            <w:r>
              <w:rPr/>
              <w:t xml:space="preserve">2+3 OG
</w:t>
            </w:r>
          </w:p>
          <w:p>
            <w:pPr/>
            <w:r>
              <w:rPr/>
              <w:t xml:space="preserve">Decke
</w:t>
            </w:r>
          </w:p>
        </w:tc>
        <w:tc>
          <w:tcPr>
            <w:shd w:val="clear" w:fill="red"/>
            <w:noWrap/>
          </w:tcPr>
          <w:p>
            <w:pPr/>
            <w:r>
              <w:rPr/>
              <w:t xml:space="preserve">VM-14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MaP-15</w:t>
            </w:r>
          </w:p>
        </w:tc>
        <w:tc>
          <w:tcPr>
            <w:shd w:val="clear" w:fill="red"/>
            <w:noWrap/>
          </w:tcPr>
          <w:p>
            <w:pPr/>
            <w:r>
              <w:rPr/>
              <w:t xml:space="preserve">Wohnzimmer
</w:t>
            </w:r>
          </w:p>
          <w:p>
            <w:pPr/>
            <w:r>
              <w:rPr/>
              <w:t xml:space="preserve">2+3 OG
</w:t>
            </w:r>
          </w:p>
          <w:p>
            <w:pPr/>
            <w:r>
              <w:rPr/>
              <w:t xml:space="preserve">Wand
</w:t>
            </w:r>
          </w:p>
        </w:tc>
        <w:tc>
          <w:tcPr>
            <w:shd w:val="clear" w:fill="red"/>
            <w:noWrap/>
          </w:tcPr>
          <w:p>
            <w:pPr/>
            <w:r>
              <w:rPr/>
              <w:t xml:space="preserve">VM-15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