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Wührestrasse 20, Uster,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629</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Bernhard Sutter</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Bernhard Sutter</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09 December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w:t>
      </w:r>
      <w:r>
        <w:rPr>
          <w:sz w:val="24"/>
          <w:szCs w:val="24"/>
        </w:rPr>
        <w:t xml:space="preserve"> aus Map 17 kann durch instruierte Handwerker unter Einhaltung der Richtlinien 33031 rückgebaut werden und ist mit dem LVA Code 17 06 98nk in einer Deponie Typ B zu entsorgen. Die Menge von Faserzement beträgt 200 kg. </w:t>
      </w:r>
      <w:br/>
      <w:r>
        <w:rPr>
          <w:sz w:val="24"/>
          <w:szCs w:val="24"/>
        </w:rPr>
        <w:t xml:space="preserve"/>
      </w:r>
      <w:br/>
      <w:r>
        <w:rPr>
          <w:sz w:val="24"/>
          <w:szCs w:val="24"/>
          <w:b w:val="1"/>
          <w:bCs w:val="1"/>
        </w:rPr>
        <w:t xml:space="preserve"/>
      </w:r>
      <w:r>
        <w:rPr>
          <w:sz w:val="24"/>
          <w:szCs w:val="24"/>
          <w:b w:val="1"/>
          <w:bCs w:val="1"/>
        </w:rPr>
        <w:t xml:space="preserve">PVC</w:t>
      </w:r>
      <w:r>
        <w:rPr>
          <w:sz w:val="24"/>
          <w:szCs w:val="24"/>
        </w:rPr>
        <w:t xml:space="preserve"> aus Probe 18 erfordert die Sanierung durch Schadstoffsanierer basierend auf Richtlinien 60256 und wird unter dem LVA Code 17 02 03 in einer Deponie Typ D deponiert. Die Gesamtmasse an PVC beträgt 500 kg. </w:t>
      </w:r>
      <w:br/>
      <w:r>
        <w:rPr>
          <w:sz w:val="24"/>
          <w:szCs w:val="24"/>
        </w:rPr>
        <w:t xml:space="preserve"/>
      </w:r>
      <w:br/>
      <w:r>
        <w:rPr>
          <w:sz w:val="24"/>
          <w:szCs w:val="24"/>
          <w:b w:val="1"/>
          <w:bCs w:val="1"/>
        </w:rPr>
        <w:t xml:space="preserve"/>
      </w:r>
      <w:r>
        <w:rPr>
          <w:sz w:val="24"/>
          <w:szCs w:val="24"/>
          <w:b w:val="1"/>
          <w:bCs w:val="1"/>
        </w:rPr>
        <w:t xml:space="preserve">Künstliche Mineralfasern</w:t>
      </w:r>
      <w:r>
        <w:rPr>
          <w:sz w:val="24"/>
          <w:szCs w:val="24"/>
        </w:rPr>
        <w:t xml:space="preserve"> aus Map 19 sind in einer Menge von 150 kg vorhanden und müssen gemäss Richtlinien 55109 von instruierten Handwerkern entfernt werden. Sie werden unter dem Code 17 06 04x einer Deponie Typ C zugeführt.</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Wohnzimmer
</w:t>
            </w:r>
          </w:p>
          <w:p>
            <w:pPr/>
            <w:r>
              <w:rPr/>
              <w:t xml:space="preserve">3. OG
</w:t>
            </w:r>
          </w:p>
          <w:p>
            <w:pPr/>
            <w:r>
              <w:rPr/>
              <w:t xml:space="preserve">Wand
</w:t>
            </w:r>
          </w:p>
        </w:tc>
        <w:tc>
          <w:tcPr>
            <w:shd w:val="clear" w:fill="red"/>
            <w:noWrap/>
          </w:tcPr>
          <w:p>
            <w:pPr/>
            <w:r>
              <w:rPr/>
              <w:t xml:space="preserve">VM-1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Küche
</w:t>
            </w:r>
          </w:p>
          <w:p>
            <w:pPr/>
            <w:r>
              <w:rPr/>
              <w:t xml:space="preserve">3. OG
</w:t>
            </w:r>
          </w:p>
          <w:p>
            <w:pPr/>
            <w:r>
              <w:rPr/>
              <w:t xml:space="preserve">Wand
</w:t>
            </w:r>
          </w:p>
        </w:tc>
        <w:tc>
          <w:tcPr>
            <w:shd w:val="clear" w:fill="red"/>
            <w:noWrap/>
          </w:tcPr>
          <w:p>
            <w:pPr/>
            <w:r>
              <w:rPr/>
              <w:t xml:space="preserve">VM-2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Küche
</w:t>
            </w:r>
          </w:p>
          <w:p>
            <w:pPr/>
            <w:r>
              <w:rPr/>
              <w:t xml:space="preserve">3. OG
</w:t>
            </w:r>
          </w:p>
          <w:p>
            <w:pPr/>
            <w:r>
              <w:rPr/>
              <w:t xml:space="preserve">Wand
</w:t>
            </w:r>
          </w:p>
        </w:tc>
        <w:tc>
          <w:tcPr>
            <w:shd w:val="clear" w:fill="red"/>
            <w:noWrap/>
          </w:tcPr>
          <w:p>
            <w:pPr/>
            <w:r>
              <w:rPr/>
              <w:t xml:space="preserve">VM-3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