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Dättwilerstrasse 37, Baden,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627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Sara Ghanadi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Sara Ghanadi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10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und ist mit dem LVA Code 17 06 98nk in einer Deponie Typ B zu entsorgen. Die Gesamtmenge des Materials beträgt 50 m².</w:t>
      </w:r>
      <w:br/>
      <w:r>
        <w:rPr>
          <w:sz w:val="24"/>
          <w:szCs w:val="24"/>
        </w:rPr>
        <w:t xml:space="preserve"/>
      </w:r>
      <w:br/>
      <w:r>
        <w:rPr>
          <w:sz w:val="24"/>
          <w:szCs w:val="24"/>
          <w:b w:val="1"/>
          <w:bCs w:val="1"/>
        </w:rPr>
        <w:t xml:space="preserve"/>
      </w:r>
      <w:r>
        <w:rPr>
          <w:sz w:val="24"/>
          <w:szCs w:val="24"/>
          <w:b w:val="1"/>
          <w:bCs w:val="1"/>
        </w:rPr>
        <w:t xml:space="preserve">Holz mit Holzschutzmittel aus Map 18</w:t>
      </w:r>
      <w:r>
        <w:rPr>
          <w:sz w:val="24"/>
          <w:szCs w:val="24"/>
        </w:rPr>
        <w:t xml:space="preserve"> sollte durch instruierte Handwerker zurückgebaut werden, unter Beachtung der Richtlinien 55621. Entsorgt wird es mit dem LVA Code 17 02 04 in einer Deponie Typ C. Die Materialmenge beträgt 30 m³.</w:t>
      </w:r>
      <w:br/>
      <w:r>
        <w:rPr>
          <w:sz w:val="24"/>
          <w:szCs w:val="24"/>
        </w:rPr>
        <w:t xml:space="preserve"/>
      </w:r>
      <w:br/>
      <w:r>
        <w:rPr>
          <w:sz w:val="24"/>
          <w:szCs w:val="24"/>
          <w:b w:val="1"/>
          <w:bCs w:val="1"/>
        </w:rPr>
        <w:t xml:space="preserve"/>
      </w:r>
      <w:r>
        <w:rPr>
          <w:sz w:val="24"/>
          <w:szCs w:val="24"/>
          <w:b w:val="1"/>
          <w:bCs w:val="1"/>
        </w:rPr>
        <w:t xml:space="preserve">Polystyrol aus Map 19</w:t>
      </w:r>
      <w:r>
        <w:rPr>
          <w:sz w:val="24"/>
          <w:szCs w:val="24"/>
        </w:rPr>
        <w:t xml:space="preserve"> wird durch instruierte Handwerker demontiert, wobei die Richtlinien 83642 zu befolgen sind. Es erfolgt die Entsorgung in einer Deponie Typ A mit dem LVA Code 17 06 04. Das Material hat eine Gesamtmenge von 120 m³.</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OG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OG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Bad
</w:t>
            </w:r>
          </w:p>
          <w:p>
            <w:pPr/>
            <w:r>
              <w:rPr/>
              <w:t xml:space="preserve">OG
</w:t>
            </w:r>
          </w:p>
          <w:p>
            <w:pPr/>
            <w:r>
              <w:rPr/>
              <w:t xml:space="preserve">Decke
</w:t>
            </w:r>
          </w:p>
        </w:tc>
        <w:tc>
          <w:tcPr>
            <w:shd w:val="clear" w:fill="red"/>
            <w:noWrap/>
          </w:tcPr>
          <w:p>
            <w:pPr/>
            <w:r>
              <w:rPr/>
              <w:t xml:space="preserve">VM-4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orange"/>
            <w:noWrap/>
          </w:tcPr>
          <w:p>
            <w:pPr/>
            <w:r>
              <w:rPr/>
              <w:t xml:space="preserve">MaP-5</w:t>
            </w:r>
          </w:p>
        </w:tc>
        <w:tc>
          <w:tcPr>
            <w:shd w:val="clear" w:fill="orange"/>
            <w:noWrap/>
          </w:tcPr>
          <w:p>
            <w:pPr/>
            <w:r>
              <w:rPr/>
              <w:t xml:space="preserve">Reduit
</w:t>
            </w:r>
          </w:p>
          <w:p>
            <w:pPr/>
            <w:r>
              <w:rPr/>
              <w:t xml:space="preserve">OG
</w:t>
            </w:r>
          </w:p>
          <w:p>
            <w:pPr/>
            <w:r>
              <w:rPr/>
              <w:t xml:space="preserve">Boden
</w:t>
            </w:r>
          </w:p>
        </w:tc>
        <w:tc>
          <w:tcPr>
            <w:shd w:val="clear" w:fill="orange"/>
            <w:noWrap/>
          </w:tcPr>
          <w:p>
            <w:pPr/>
            <w:r>
              <w:rPr/>
              <w:t xml:space="preserve">VM-5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5" o:title=""/>
                </v:shape>
              </w:pict>
              <w:t xml:space="preserve"/>
            </w:r>
          </w:p>
        </w:tc>
        <w:tc>
          <w:tcPr>
            <w:shd w:val="clear" w:fill="orange"/>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