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Nendeln, Liechtenstein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615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Aysun Yasar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Aysun Yasar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18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MaP-2</w:t>
            </w:r>
          </w:p>
        </w:tc>
        <w:tc>
          <w:tcPr>
            <w:noWrap/>
          </w:tcPr>
          <w:p>
            <w:pPr/>
            <w:r>
              <w:rPr/>
              <w:t xml:space="preserve">Bad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Dusche
</w:t>
            </w:r>
          </w:p>
          <w:p>
            <w:pPr/>
            <w:r>
              <w:rPr/>
              <w:t xml:space="preserve">UG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MaP-13</w:t>
            </w:r>
          </w:p>
        </w:tc>
        <w:tc>
          <w:tcPr>
            <w:noWrap/>
          </w:tcPr>
          <w:p>
            <w:pPr/>
            <w:r>
              <w:rPr/>
              <w:t xml:space="preserve">Dusche
</w:t>
            </w:r>
          </w:p>
          <w:p>
            <w:pPr/>
            <w:r>
              <w:rPr/>
              <w:t xml:space="preserve">UG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Estrich
</w:t>
            </w:r>
          </w:p>
          <w:p>
            <w:pPr/>
            <w:r>
              <w:rPr/>
              <w:t xml:space="preserve">DG
</w:t>
            </w:r>
          </w:p>
          <w:p>
            <w:pPr/>
            <w:r>
              <w:rPr/>
              <w:t xml:space="preserve">Deckenbeleuchtung
</w:t>
            </w:r>
          </w:p>
        </w:tc>
        <w:tc>
          <w:tcPr>
            <w:noWrap/>
          </w:tcPr>
          <w:p>
            <w:pPr/>
            <w:r>
              <w:rPr/>
              <w:t xml:space="preserve">Unterlage Deckenbeleuchtung</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MaP-11</w:t>
            </w:r>
          </w:p>
        </w:tc>
        <w:tc>
          <w:tcPr>
            <w:noWrap/>
          </w:tcPr>
          <w:p>
            <w:pPr/>
            <w:r>
              <w:rPr/>
              <w:t xml:space="preserve">Putz</w:t>
            </w:r>
          </w:p>
        </w:tc>
        <w:tc>
          <w:tcPr>
            <w:noWrap/>
          </w:tcPr>
          <w:p>
            <w:pPr/>
            <w:r>
              <w:rPr/>
              <w:t xml:space="preserve">2m²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(elastische) Bodenbeläge</w:t>
            </w:r>
          </w:p>
        </w:tc>
        <w:tc>
          <w:tcPr>
            <w:noWrap/>
          </w:tcPr>
          <w:p>
            <w:pPr/>
            <w:r>
              <w:rPr/>
              <w:t xml:space="preserve">12</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MaP-2</w:t>
            </w:r>
          </w:p>
        </w:tc>
        <w:tc>
          <w:tcPr>
            <w:noWrap/>
          </w:tcPr>
          <w:p>
            <w:pPr/>
            <w:r>
              <w:rPr/>
              <w:t xml:space="preserve">(elastische) Bodenbeläge</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MaP-13</w:t>
            </w:r>
          </w:p>
        </w:tc>
        <w:tc>
          <w:tcPr>
            <w:noWrap/>
          </w:tcPr>
          <w:p>
            <w:pPr/>
            <w:r>
              <w:rPr/>
              <w:t xml:space="preserve">(elastische) Bodenbeläge</w:t>
            </w:r>
          </w:p>
        </w:tc>
        <w:tc>
          <w:tcPr>
            <w:noWrap/>
          </w:tcPr>
          <w:p>
            <w:pPr/>
            <w:r>
              <w:rPr/>
              <w:t xml:space="preserve">3</w:t>
            </w:r>
          </w:p>
        </w:tc>
        <w:tc>
          <w:tcPr>
            <w:noWrap/>
          </w:tcPr>
          <w:p>
            <w:pPr/>
            <w:r>
              <w:rPr/>
              <w:t xml:space="preserve">3</w:t>
            </w:r>
          </w:p>
        </w:tc>
        <w:tc>
          <w:tcPr>
            <w:noWrap/>
          </w:tcPr>
          <w:p>
            <w:pPr/>
            <w:r>
              <w:rPr/>
              <w:t xml:space="preserve">33049</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w:t>
      </w:r>
      <w:r>
        <w:rPr>
          <w:sz w:val="24"/>
          <w:szCs w:val="24"/>
        </w:rPr>
        <w:t xml:space="preserve"> (elastische) Bodenbeläge sind im Küchenbereich im Erdgeschoss am Boden verlegt. Dieses Material kann durch instruierte Handwerker unter Einhaltung der Richtlinien 33049 rückgebaut werden und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MaP-2</w:t>
      </w:r>
      <w:r>
        <w:rPr>
          <w:sz w:val="24"/>
          <w:szCs w:val="24"/>
        </w:rPr>
        <w:t xml:space="preserve"> (elastische) Bodenbeläge wurden im Bad im Erdgeschoss am Boden eingebaut. Die Sanierung soll ebenfalls durch instruierte Handwerker erfolgen, die dabei den Richtlinien 33049 folgen. Das Material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MaP-11</w:t>
      </w:r>
      <w:r>
        <w:rPr>
          <w:sz w:val="24"/>
          <w:szCs w:val="24"/>
        </w:rPr>
        <w:t xml:space="preserve"> Putz wurde an der Wand in der Dusche im Untergeschoss eingesetzt. Die Sanierung dieses Putzes ist durch einen Schadstoffsanierer vorzunehmen, unter Berücksichtigung der EKAS 6503 Kap. 7 Richtlinien. Die fachgerechte Entsorgung erfolgt mit dem LVA-Code 17 06 05 S.</w:t>
      </w:r>
      <w:br/>
      <w:r>
        <w:rPr>
          <w:sz w:val="24"/>
          <w:szCs w:val="24"/>
        </w:rPr>
        <w:t xml:space="preserve"/>
      </w:r>
      <w:br/>
      <w:r>
        <w:rPr>
          <w:sz w:val="24"/>
          <w:szCs w:val="24"/>
          <w:b w:val="1"/>
          <w:bCs w:val="1"/>
        </w:rPr>
        <w:t xml:space="preserve"/>
      </w:r>
      <w:r>
        <w:rPr>
          <w:sz w:val="24"/>
          <w:szCs w:val="24"/>
          <w:b w:val="1"/>
          <w:bCs w:val="1"/>
        </w:rPr>
        <w:t xml:space="preserve">MaP-13</w:t>
      </w:r>
      <w:r>
        <w:rPr>
          <w:sz w:val="24"/>
          <w:szCs w:val="24"/>
        </w:rPr>
        <w:t xml:space="preserve"> (elastische) Bodenbeläge befinden sich in der Dusche im Untergeschoss am Boden. Instruierte Handwerker sollen dieses Material unter Einhaltung der Richtlinien 33049 ausbauen, wobei eine Entsorgung mit dem LVA-Code 17 06 98 nk in einer Deponie Typ B vorgeschrieben ist.</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LAP wurde als Unterlage für die Deckenbeleuchtung im Estrich des Dachgeschosses verwendet. Diese muss von einem Schadstoffsanierer abgebaut werden, wobei die Richtlinien 33036 zu beachten sind. Die Entsorgung hat mit dem LVA-Code 17 06 05 S zu erfolgen.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Küche
</w:t>
            </w:r>
          </w:p>
          <w:p>
            <w:pPr/>
            <w:r>
              <w:rPr/>
              <w:t xml:space="preserve">EG
</w:t>
            </w:r>
          </w:p>
          <w:p>
            <w:pPr/>
            <w:r>
              <w:rPr/>
              <w:t xml:space="preserve">Boden
</w:t>
            </w:r>
          </w:p>
        </w:tc>
        <w:tc>
          <w:tcPr>
            <w:shd w:val="clear" w:fill="orange"/>
            <w:noWrap/>
          </w:tcPr>
          <w:p>
            <w:pPr/>
            <w:r>
              <w:rPr/>
              <w:t xml:space="preserve">VM-3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9" o:title=""/>
                </v:shape>
              </w:pict>
              <w:t xml:space="preserve"/>
            </w:r>
          </w:p>
        </w:tc>
        <w:tc>
          <w:tcPr>
            <w:shd w:val="clear" w:fill="orange"/>
            <w:noWrap/>
          </w:tcPr>
          <w:p>
            <w:pPr/>
            <w:r>
              <w:rPr/>
              <w:t xml:space="preserve"/>
              <w:pict>
                <v:shape type="#_x0000_t75" style="width:100px;height:150px" stroked="f" filled="f">
                  <v:imagedata r:id="rId20" o:title=""/>
                </v:shape>
              </w:pict>
              <w:t xml:space="preserve"/>
            </w:r>
          </w:p>
        </w:tc>
      </w:tr>
      <w:tr>
        <w:trPr/>
        <w:tc>
          <w:tcPr>
            <w:shd w:val="clear" w:fill="orange"/>
            <w:noWrap/>
          </w:tcPr>
          <w:p>
            <w:pPr/>
            <w:r>
              <w:rPr/>
              <w:t xml:space="preserve">MaP-2</w:t>
            </w:r>
          </w:p>
        </w:tc>
        <w:tc>
          <w:tcPr>
            <w:shd w:val="clear" w:fill="orange"/>
            <w:noWrap/>
          </w:tcPr>
          <w:p>
            <w:pPr/>
            <w:r>
              <w:rPr/>
              <w:t xml:space="preserve">Bad
</w:t>
            </w:r>
          </w:p>
          <w:p>
            <w:pPr/>
            <w:r>
              <w:rPr/>
              <w:t xml:space="preserve">EG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Schlafzimmer
</w:t>
            </w:r>
          </w:p>
          <w:p>
            <w:pPr/>
            <w:r>
              <w:rPr/>
              <w:t xml:space="preserve">EG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VM-7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Gang / Treppenhaus
</w:t>
            </w:r>
          </w:p>
          <w:p>
            <w:pPr/>
            <w:r>
              <w:rPr/>
              <w:t xml:space="preserve">UG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Gang / Treppenhaus
</w:t>
            </w:r>
          </w:p>
          <w:p>
            <w:pPr/>
            <w:r>
              <w:rPr/>
              <w:t xml:space="preserve">UG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Heizraum
</w:t>
            </w:r>
          </w:p>
          <w:p>
            <w:pPr/>
            <w:r>
              <w:rPr/>
              <w:t xml:space="preserve">UG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Dusche
</w:t>
            </w:r>
          </w:p>
          <w:p>
            <w:pPr/>
            <w:r>
              <w:rPr/>
              <w:t xml:space="preserve">UG
</w:t>
            </w:r>
          </w:p>
          <w:p>
            <w:pPr/>
            <w:r>
              <w:rPr/>
              <w:t xml:space="preserve">Decke
</w:t>
            </w:r>
          </w:p>
        </w:tc>
        <w:tc>
          <w:tcPr>
            <w:shd w:val="clear" w:fill="red"/>
            <w:noWrap/>
          </w:tcPr>
          <w:p>
            <w:pPr/>
            <w:r>
              <w:rPr/>
              <w:t xml:space="preserve">VM-14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orange"/>
            <w:noWrap/>
          </w:tcPr>
          <w:p>
            <w:pPr/>
            <w:r>
              <w:rPr/>
              <w:t xml:space="preserve">MaP-13</w:t>
            </w:r>
          </w:p>
        </w:tc>
        <w:tc>
          <w:tcPr>
            <w:shd w:val="clear" w:fill="orange"/>
            <w:noWrap/>
          </w:tcPr>
          <w:p>
            <w:pPr/>
            <w:r>
              <w:rPr/>
              <w:t xml:space="preserve">Dusche
</w:t>
            </w:r>
          </w:p>
          <w:p>
            <w:pPr/>
            <w:r>
              <w:rPr/>
              <w:t xml:space="preserve">UG
</w:t>
            </w:r>
          </w:p>
          <w:p>
            <w:pPr/>
            <w:r>
              <w:rPr/>
              <w:t xml:space="preserve">Boden
</w:t>
            </w:r>
          </w:p>
        </w:tc>
        <w:tc>
          <w:tcPr>
            <w:shd w:val="clear" w:fill="orange"/>
            <w:noWrap/>
          </w:tcPr>
          <w:p>
            <w:pPr/>
            <w:r>
              <w:rPr/>
              <w:t xml:space="preserve">VM-15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3" o:title=""/>
                </v:shape>
              </w:pict>
              <w:t xml:space="preserve"/>
            </w:r>
          </w:p>
        </w:tc>
        <w:tc>
          <w:tcPr>
            <w:shd w:val="clear" w:fill="orange"/>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Schlafzimmer
</w:t>
            </w:r>
          </w:p>
          <w:p>
            <w:pPr/>
            <w:r>
              <w:rPr/>
              <w:t xml:space="preserve">UG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UG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UG
</w:t>
            </w:r>
          </w:p>
          <w:p>
            <w:pPr/>
            <w:r>
              <w:rPr/>
              <w:t xml:space="preserve">Boden
</w:t>
            </w:r>
          </w:p>
        </w:tc>
        <w:tc>
          <w:tcPr>
            <w:shd w:val="clear" w:fill="red"/>
            <w:noWrap/>
          </w:tcPr>
          <w:p>
            <w:pPr/>
            <w:r>
              <w:rPr/>
              <w:t xml:space="preserve">VM-18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Keller
</w:t>
            </w:r>
          </w:p>
          <w:p>
            <w:pPr/>
            <w:r>
              <w:rPr/>
              <w:t xml:space="preserve">UG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Fassade
</w:t>
            </w:r>
          </w:p>
          <w:p>
            <w:pPr/>
            <w:r>
              <w:rPr/>
              <w:t xml:space="preserve">UG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5" o:title=""/>
                </v:shape>
              </w:pict>
              <w:t xml:space="preserve"/>
            </w:r>
          </w:p>
        </w:tc>
        <w:tc>
          <w:tcPr>
            <w:shd w:val="clear" w:fill="orange"/>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VB-2</w:t>
            </w:r>
          </w:p>
        </w:tc>
        <w:tc>
          <w:tcPr>
            <w:shd w:val="clear" w:fill="red"/>
            <w:noWrap/>
          </w:tcPr>
          <w:p>
            <w:pPr/>
            <w:r>
              <w:rPr/>
              <w:t xml:space="preserve">Estrich
</w:t>
            </w:r>
          </w:p>
          <w:p>
            <w:pPr/>
            <w:r>
              <w:rPr/>
              <w:t xml:space="preserve">DG
</w:t>
            </w:r>
          </w:p>
          <w:p>
            <w:pPr/>
            <w:r>
              <w:rPr/>
              <w:t xml:space="preserve">Deckenbeleuchtung
</w:t>
            </w:r>
          </w:p>
        </w:tc>
        <w:tc>
          <w:tcPr>
            <w:shd w:val="clear" w:fill="red"/>
            <w:noWrap/>
          </w:tcPr>
          <w:p>
            <w:pPr/>
            <w:r>
              <w:rPr/>
              <w:t xml:space="preserve">VM-2
</w:t>
            </w:r>
          </w:p>
          <w:p>
            <w:pPr/>
            <w:r>
              <w:rPr/>
              <w:t xml:space="preserve">LAP
</w:t>
            </w:r>
          </w:p>
          <w:p>
            <w:pPr/>
            <w:r>
              <w:rPr/>
              <w:t xml:space="preserve">Unterlage Deckenbeleuchtung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VM-19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