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Eisenbahnstrasse 24, Thun,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852</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607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KATO ARCHITEKTEN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KATO ARCHITEKTEN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05.12.2025 11:53</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Jemmi Sandro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Jemmi Sandro</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6: Faserzement</w:t>
      </w:r>
      <w:r>
        <w:rPr>
          <w:sz w:val="24"/>
          <w:szCs w:val="24"/>
        </w:rPr>
        <w:t xml:space="preserve">  </w:t>
      </w:r>
      <w:br/>
      <w:r>
        <w:rPr>
          <w:sz w:val="24"/>
          <w:szCs w:val="24"/>
        </w:rPr>
        <w:t xml:space="preserve">Faserzement aus Map 17 kann durch instruierte Handwerker unter Einhaltung der Richtlinien 33031 rückgebaut werden und ist mit dem LVA-Code 17 06 98nk in einer Deponie Typ B zu entsorgen. Gemäss der angeforderten Prüfung ist das Material mit Rang B eingestuft und die maximale Menge beträgt 2 Tonnen.  </w:t>
      </w:r>
      <w:br/>
      <w:r>
        <w:rPr>
          <w:sz w:val="24"/>
          <w:szCs w:val="24"/>
        </w:rPr>
        <w:t xml:space="preserve"/>
      </w:r>
      <w:br/>
      <w:r>
        <w:rPr>
          <w:sz w:val="24"/>
          <w:szCs w:val="24"/>
          <w:b w:val="1"/>
          <w:bCs w:val="1"/>
        </w:rPr>
        <w:t xml:space="preserve"/>
      </w:r>
      <w:r>
        <w:rPr>
          <w:sz w:val="24"/>
          <w:szCs w:val="24"/>
          <w:b w:val="1"/>
          <w:bCs w:val="1"/>
        </w:rPr>
        <w:t xml:space="preserve">Probe-ID 19: Dichtungsmasse Kunststoffe</w:t>
      </w:r>
      <w:r>
        <w:rPr>
          <w:sz w:val="24"/>
          <w:szCs w:val="24"/>
        </w:rPr>
        <w:t xml:space="preserve">  </w:t>
      </w:r>
      <w:br/>
      <w:r>
        <w:rPr>
          <w:sz w:val="24"/>
          <w:szCs w:val="24"/>
        </w:rPr>
        <w:t xml:space="preserve">Die Dichtungsmasse aus Kunststoff, die auf Kittbasis beschrieben wird, sollte durch Schadstoffsanierer entfernt werden. Sie muss entsprechend den Richtlinien 34123 behandelt und mit dem LVA-Code 08 04 10 in einer entsprechenden Deponie Typ C eingelagert werden.  </w:t>
      </w:r>
      <w:br/>
      <w:r>
        <w:rPr>
          <w:sz w:val="24"/>
          <w:szCs w:val="24"/>
        </w:rPr>
        <w:t xml:space="preserve"/>
      </w:r>
      <w:br/>
      <w:r>
        <w:rPr>
          <w:sz w:val="24"/>
          <w:szCs w:val="24"/>
          <w:b w:val="1"/>
          <w:bCs w:val="1"/>
        </w:rPr>
        <w:t xml:space="preserve"/>
      </w:r>
      <w:r>
        <w:rPr>
          <w:sz w:val="24"/>
          <w:szCs w:val="24"/>
          <w:b w:val="1"/>
          <w:bCs w:val="1"/>
        </w:rPr>
        <w:t xml:space="preserve">Probe-ID 23: Mörtel/Beton</w:t>
      </w:r>
      <w:r>
        <w:rPr>
          <w:sz w:val="24"/>
          <w:szCs w:val="24"/>
        </w:rPr>
        <w:t xml:space="preserve">  </w:t>
      </w:r>
      <w:br/>
      <w:r>
        <w:rPr>
          <w:sz w:val="24"/>
          <w:szCs w:val="24"/>
        </w:rPr>
        <w:t xml:space="preserve">Mörtel oder Beton findet sich im verbauten Zustand, das Material sollte durch instruierte Handwerker gemäss Richtlinien 11111 bearbeitet werden. Die Entsorgung erfolgt mit dem LVA-Code 17 01 01 auf einer Deponie Typ A, bei einer maximal zulässigen Menge von 50 Tonnen.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Jemmi Sandro</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Fasade
</w:t>
            </w:r>
          </w:p>
          <w:p>
            <w:pPr/>
            <w:r>
              <w:rPr/>
              <w:t xml:space="preserve">EG -DG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Fasade
</w:t>
            </w:r>
          </w:p>
          <w:p>
            <w:pPr/>
            <w:r>
              <w:rPr/>
              <w:t xml:space="preserve">EG -DG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Scheune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Lager 1
</w:t>
            </w:r>
          </w:p>
          <w:p>
            <w:pPr/>
            <w:r>
              <w:rPr/>
              <w:t xml:space="preserve">EG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Lager 2
</w:t>
            </w:r>
          </w:p>
          <w:p>
            <w:pPr/>
            <w:r>
              <w:rPr/>
              <w:t xml:space="preserve">EG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VB-1</w:t>
            </w:r>
          </w:p>
        </w:tc>
        <w:tc>
          <w:tcPr>
            <w:shd w:val="clear" w:fill="red"/>
            <w:noWrap/>
          </w:tcPr>
          <w:p>
            <w:pPr/>
            <w:r>
              <w:rPr/>
              <w:t xml:space="preserve">Keller
</w:t>
            </w:r>
          </w:p>
          <w:p>
            <w:pPr/>
            <w:r>
              <w:rPr/>
              <w:t xml:space="preserve">UG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VB-2</w:t>
            </w:r>
          </w:p>
        </w:tc>
        <w:tc>
          <w:tcPr>
            <w:shd w:val="clear" w:fill="red"/>
            <w:noWrap/>
          </w:tcPr>
          <w:p>
            <w:pPr/>
            <w:r>
              <w:rPr/>
              <w:t xml:space="preserve">WHG
</w:t>
            </w:r>
          </w:p>
          <w:p>
            <w:pPr/>
            <w:r>
              <w:rPr/>
              <w:t xml:space="preserve">OG
</w:t>
            </w:r>
          </w:p>
          <w:p>
            <w:pPr/>
            <w:r>
              <w:rPr/>
              <w:t xml:space="preserve">Wand/ Decke / Boden
</w:t>
            </w:r>
          </w:p>
        </w:tc>
        <w:tc>
          <w:tcPr>
            <w:shd w:val="clear" w:fill="red"/>
            <w:noWrap/>
          </w:tcPr>
          <w:p>
            <w:pPr/>
            <w:r>
              <w:rPr/>
              <w:t xml:space="preserve">VM-2
</w:t>
            </w:r>
          </w:p>
          <w:p>
            <w:pPr/>
            <w:r>
              <w:rPr/>
              <w:t xml:space="preserve">Putz
</w:t>
            </w:r>
          </w:p>
          <w:p>
            <w:pPr/>
            <w:r>
              <w:rPr/>
              <w:t xml:space="preserve">Wand / Decke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VB-3</w:t>
            </w:r>
          </w:p>
        </w:tc>
        <w:tc>
          <w:tcPr>
            <w:shd w:val="clear" w:fill="orange"/>
            <w:noWrap/>
          </w:tcPr>
          <w:p/>
        </w:tc>
        <w:tc>
          <w:tcPr>
            <w:shd w:val="clear" w:fill="orange"/>
            <w:noWrap/>
          </w:tcPr>
          <w:p>
            <w:pPr/>
            <w:r>
              <w:rPr/>
              <w:t xml:space="preserve">VM-3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green"/>
            <w:noWrap/>
          </w:tcPr>
          <w:p>
            <w:pPr/>
            <w:r>
              <w:rPr/>
              <w:t xml:space="preserve">VB-4</w:t>
            </w:r>
          </w:p>
        </w:tc>
        <w:tc>
          <w:tcPr>
            <w:shd w:val="clear" w:fill="green"/>
            <w:noWrap/>
          </w:tcPr>
          <w:p>
            <w:pPr/>
            <w:r>
              <w:rPr/>
              <w:t xml:space="preserve">WHG
</w:t>
            </w:r>
          </w:p>
          <w:p>
            <w:pPr/>
            <w:r>
              <w:rPr/>
              <w:t xml:space="preserve">EG
</w:t>
            </w:r>
          </w:p>
          <w:p>
            <w:pPr/>
            <w:r>
              <w:rPr/>
              <w:t xml:space="preserve">Wand / Decke / Boden
</w:t>
            </w:r>
          </w:p>
        </w:tc>
        <w:tc>
          <w:tcPr>
            <w:shd w:val="clear" w:fill="green"/>
            <w:noWrap/>
          </w:tcPr>
          <w:p>
            <w:pPr/>
            <w:r>
              <w:rPr/>
              <w:t xml:space="preserve">VM-7
</w:t>
            </w:r>
          </w:p>
          <w:p>
            <w:pPr/>
            <w:r>
              <w:rPr/>
              <w:t xml:space="preserve">Holz
</w:t>
            </w:r>
          </w:p>
          <w:p>
            <w:pPr/>
            <w:r>
              <w:rPr/>
              <w:t xml:space="preserve">Wand / Decke / 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7" o:title=""/>
                </v:shape>
              </w:pict>
              <w:t xml:space="preserve"/>
            </w:r>
          </w:p>
        </w:tc>
        <w:tc>
          <w:tcPr>
            <w:shd w:val="clear" w:fill="green"/>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VB-5</w:t>
            </w:r>
          </w:p>
        </w:tc>
        <w:tc>
          <w:tcPr>
            <w:shd w:val="clear" w:fill="red"/>
            <w:noWrap/>
          </w:tcPr>
          <w:p>
            <w:pPr/>
            <w:r>
              <w:rPr/>
              <w:t xml:space="preserve">Scheune
</w:t>
            </w:r>
          </w:p>
          <w:p>
            <w:pPr/>
            <w:r>
              <w:rPr/>
              <w:t xml:space="preserve">EG
</w:t>
            </w:r>
          </w:p>
          <w:p>
            <w:pPr/>
            <w:r>
              <w:rPr/>
              <w:t xml:space="preserve">Elektrotableau
</w:t>
            </w:r>
          </w:p>
        </w:tc>
        <w:tc>
          <w:tcPr>
            <w:shd w:val="clear" w:fill="red"/>
            <w:noWrap/>
          </w:tcPr>
          <w:p>
            <w:pPr/>
            <w:r>
              <w:rPr/>
              <w:t xml:space="preserve">VM-13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