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Stampfenbachstrasse 57, Zürich,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593</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Leta Honegger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Leta Honegger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21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Probe-ID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Kunststoff PVC</w:t>
      </w:r>
      <w:r>
        <w:rPr>
          <w:sz w:val="24"/>
          <w:szCs w:val="24"/>
        </w:rPr>
        <w:t xml:space="preserve"> aus Probe-ID 20 kann durch instruierte Handwerker unter Beachtung der Richtlinien 65073 mit dem LVA Code 17 02 03n entsorgt werden. Die fachgerechte Entsorgung soll gemäss der Menge des Materials erfolgen.</w:t>
      </w:r>
      <w:br/>
      <w:r>
        <w:rPr>
          <w:sz w:val="24"/>
          <w:szCs w:val="24"/>
        </w:rPr>
        <w:t xml:space="preserve"/>
      </w:r>
      <w:br/>
      <w:r>
        <w:rPr>
          <w:sz w:val="24"/>
          <w:szCs w:val="24"/>
          <w:b w:val="1"/>
          <w:bCs w:val="1"/>
        </w:rPr>
        <w:t xml:space="preserve"/>
      </w:r>
      <w:r>
        <w:rPr>
          <w:sz w:val="24"/>
          <w:szCs w:val="24"/>
          <w:b w:val="1"/>
          <w:bCs w:val="1"/>
        </w:rPr>
        <w:t xml:space="preserve">Asbesthaltiger Spritzbelag</w:t>
      </w:r>
      <w:r>
        <w:rPr>
          <w:sz w:val="24"/>
          <w:szCs w:val="24"/>
        </w:rPr>
        <w:t xml:space="preserve"> der Probe-ID 5 muss von einem Schadstoffsanierer unter strengen Vorkehrungen gemäss Richtlinien 01237 entfernt werden. Die Entsorgung erfolgt korrekt mit dem LVA Code 17 06 05n.</w:t>
      </w:r>
      <w:br/>
      <w:r>
        <w:rPr>
          <w:sz w:val="24"/>
          <w:szCs w:val="24"/>
        </w:rPr>
        <w:t xml:space="preserve"/>
      </w:r>
      <w:br/>
      <w:r>
        <w:rPr>
          <w:sz w:val="24"/>
          <w:szCs w:val="24"/>
          <w:b w:val="1"/>
          <w:bCs w:val="1"/>
        </w:rPr>
        <w:t xml:space="preserve"/>
      </w:r>
      <w:r>
        <w:rPr>
          <w:sz w:val="24"/>
          <w:szCs w:val="24"/>
          <w:b w:val="1"/>
          <w:bCs w:val="1"/>
        </w:rPr>
        <w:t xml:space="preserve">Teerhaltiger Belag</w:t>
      </w:r>
      <w:r>
        <w:rPr>
          <w:sz w:val="24"/>
          <w:szCs w:val="24"/>
        </w:rPr>
        <w:t xml:space="preserve"> aus der Probe-ID 6 soll fachmännisch durch einen Schadstoffsanierer gemäss den Richtlinien 23578 entfernt werden. Die Entsorgung ist mit dem LVA Code 17 03 03v vorzunehmen.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Sitzungszimmer
</w:t>
            </w:r>
          </w:p>
          <w:p>
            <w:pPr/>
            <w:r>
              <w:rPr/>
              <w:t xml:space="preserve">2. OG
</w:t>
            </w:r>
          </w:p>
          <w:p>
            <w:pPr/>
            <w:r>
              <w:rPr/>
              <w:t xml:space="preserve">Boden
</w:t>
            </w:r>
          </w:p>
        </w:tc>
        <w:tc>
          <w:tcPr>
            <w:shd w:val="clear" w:fill="orange"/>
            <w:noWrap/>
          </w:tcPr>
          <w:p>
            <w:pPr/>
            <w:r>
              <w:rPr/>
              <w:t xml:space="preserve">VM-1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7" o:title=""/>
                </v:shape>
              </w:pict>
              <w:t xml:space="preserve"/>
            </w:r>
          </w:p>
        </w:tc>
        <w:tc>
          <w:tcPr>
            <w:shd w:val="clear" w:fill="orange"/>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Lager
</w:t>
            </w:r>
          </w:p>
          <w:p>
            <w:pPr/>
            <w:r>
              <w:rPr/>
              <w:t xml:space="preserve">2. 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orange"/>
            <w:noWrap/>
          </w:tcPr>
          <w:p>
            <w:pPr/>
            <w:r>
              <w:rPr/>
              <w:t xml:space="preserve">MaP-3</w:t>
            </w:r>
          </w:p>
        </w:tc>
        <w:tc>
          <w:tcPr>
            <w:shd w:val="clear" w:fill="orange"/>
            <w:noWrap/>
          </w:tcPr>
          <w:p>
            <w:pPr/>
            <w:r>
              <w:rPr/>
              <w:t xml:space="preserve">Lager
</w:t>
            </w:r>
          </w:p>
          <w:p>
            <w:pPr/>
            <w:r>
              <w:rPr/>
              <w:t xml:space="preserve">2. OG
</w:t>
            </w:r>
          </w:p>
          <w:p>
            <w:pPr/>
            <w:r>
              <w:rPr/>
              <w:t xml:space="preserve">Boden
</w:t>
            </w:r>
          </w:p>
        </w:tc>
        <w:tc>
          <w:tcPr>
            <w:shd w:val="clear" w:fill="orange"/>
            <w:noWrap/>
          </w:tcPr>
          <w:p>
            <w:pPr/>
            <w:r>
              <w:rPr/>
              <w:t xml:space="preserve">VM-3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Lager
</w:t>
            </w:r>
          </w:p>
          <w:p>
            <w:pPr/>
            <w:r>
              <w:rPr/>
              <w:t xml:space="preserve">2. OG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