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574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Krassen Nedeltchev</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Krassen Nedeltchev</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17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2</w:t>
      </w:r>
      <w:r>
        <w:rPr>
          <w:sz w:val="24"/>
          <w:szCs w:val="24"/>
        </w:rPr>
        <w:t xml:space="preserve"> kann nur durch Schadstoffsanierer fachgerecht zurückgebaut werden, wobei die Mengen 0.4 m² betragen. Das Rückbauverfahren orientiert sich an den Richtlinien 33030 und das Material ist mit dem LVA Code 17 06 98nC in einer Deponie Typ D zu entsorgen.</w:t>
      </w:r>
      <w:br/>
      <w:r>
        <w:rPr>
          <w:sz w:val="24"/>
          <w:szCs w:val="24"/>
        </w:rPr>
        <w:t xml:space="preserve"/>
      </w:r>
      <w:br/>
      <w:r>
        <w:rPr>
          <w:sz w:val="24"/>
          <w:szCs w:val="24"/>
          <w:b w:val="1"/>
          <w:bCs w:val="1"/>
        </w:rPr>
        <w:t xml:space="preserve"/>
      </w:r>
      <w:r>
        <w:rPr>
          <w:sz w:val="24"/>
          <w:szCs w:val="24"/>
          <w:b w:val="1"/>
          <w:bCs w:val="1"/>
        </w:rPr>
        <w:t xml:space="preserve">Dichtung aus Map 3</w:t>
      </w:r>
      <w:r>
        <w:rPr>
          <w:sz w:val="24"/>
          <w:szCs w:val="24"/>
        </w:rPr>
        <w:t xml:space="preserve"> muss ebenfalls durch Schadstoffsanierer entfernt werden, bei einer Menge von 6 Stück. Die Rückbaurichtlinien 33010 sollten befolgt werden und die Entsorgung erfolgt unter dem LVA Code 17 06 98nK.</w:t>
      </w:r>
      <w:br/>
      <w:r>
        <w:rPr>
          <w:sz w:val="24"/>
          <w:szCs w:val="24"/>
        </w:rPr>
        <w:t xml:space="preserve"/>
      </w:r>
      <w:br/>
      <w:r>
        <w:rPr>
          <w:sz w:val="24"/>
          <w:szCs w:val="24"/>
          <w:b w:val="1"/>
          <w:bCs w:val="1"/>
        </w:rPr>
        <w:t xml:space="preserve"/>
      </w:r>
      <w:r>
        <w:rPr>
          <w:sz w:val="24"/>
          <w:szCs w:val="24"/>
          <w:b w:val="1"/>
          <w:bCs w:val="1"/>
        </w:rPr>
        <w:t xml:space="preserve">Luftkanäle aus Map 16</w:t>
      </w:r>
      <w:r>
        <w:rPr>
          <w:sz w:val="24"/>
          <w:szCs w:val="24"/>
        </w:rPr>
        <w:t xml:space="preserve"> werden durch instruierte Handwerker bei einer Fläche von 18 m² zurückgebaut, wobei dabei die Richtlinien 33010 beachtet werden müssen. Die Entsorgung erfolgt mittels LVA Code 17 06 98nK auf einer Deponie Typ B. </w:t>
      </w:r>
      <w:br/>
      <w:r>
        <w:rPr>
          <w:sz w:val="24"/>
          <w:szCs w:val="24"/>
        </w:rPr>
        <w:t xml:space="preserve"/>
      </w:r>
      <w:b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Das Material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EG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