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Override PartName="/word/media/image_rId3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Luegetshalde 10, 5703 Seon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562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Stefanie Hug</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Stefanie Hug</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07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t>
      </w:r>
      <w:br/>
      <w:r>
        <w:rPr>
          <w:sz w:val="24"/>
          <w:szCs w:val="24"/>
        </w:rPr>
        <w:t xml:space="preserve">Faserzement aus Map 17 kann durch instruierte Handwerker unter Einhaltung der Richtlinien 33031 rückgebaut werden und ist mit dem LVA Code 17 06 98nk in einer Deponie Typ B zu entsorgen. Die vorgeschriebene Menge liegt bei einer Volumenobergrenze von 1200 kg.</w:t>
      </w:r>
      <w:br/>
      <w:r>
        <w:rPr>
          <w:sz w:val="24"/>
          <w:szCs w:val="24"/>
        </w:rPr>
        <w:t xml:space="preserve"/>
      </w:r>
      <w:br/>
      <w:r>
        <w:rPr>
          <w:sz w:val="24"/>
          <w:szCs w:val="24"/>
          <w:b w:val="1"/>
          <w:bCs w:val="1"/>
        </w:rPr>
        <w:t xml:space="preserve"/>
      </w:r>
      <w:r>
        <w:rPr>
          <w:sz w:val="24"/>
          <w:szCs w:val="24"/>
          <w:b w:val="1"/>
          <w:bCs w:val="1"/>
        </w:rPr>
        <w:t xml:space="preserve">Asbestzement</w:t>
      </w:r>
      <w:r>
        <w:rPr>
          <w:sz w:val="24"/>
          <w:szCs w:val="24"/>
        </w:rPr>
        <w:t xml:space="preserve">  </w:t>
      </w:r>
      <w:br/>
      <w:r>
        <w:rPr>
          <w:sz w:val="24"/>
          <w:szCs w:val="24"/>
        </w:rPr>
        <w:t xml:space="preserve">Asbestzement aus Einheit 22 muss ausschliesslich durch einen Schadstoffsanierer entfernt werden und unterliegt den strengen Richtlinien 55412, weshalb es mit dem LVA Code 17 06 01 zur Deponie Typ E geführt wird. Die Gesamtmenge ist auf maximal 800 kg beschränkt.</w:t>
      </w:r>
      <w:br/>
      <w:r>
        <w:rPr>
          <w:sz w:val="24"/>
          <w:szCs w:val="24"/>
        </w:rPr>
        <w:t xml:space="preserve"/>
      </w:r>
      <w:br/>
      <w:r>
        <w:rPr>
          <w:sz w:val="24"/>
          <w:szCs w:val="24"/>
          <w:b w:val="1"/>
          <w:bCs w:val="1"/>
        </w:rPr>
        <w:t xml:space="preserve"/>
      </w:r>
      <w:r>
        <w:rPr>
          <w:sz w:val="24"/>
          <w:szCs w:val="24"/>
          <w:b w:val="1"/>
          <w:bCs w:val="1"/>
        </w:rPr>
        <w:t xml:space="preserve">Bitumenspachtel</w:t>
      </w:r>
      <w:r>
        <w:rPr>
          <w:sz w:val="24"/>
          <w:szCs w:val="24"/>
        </w:rPr>
        <w:t xml:space="preserve">  </w:t>
      </w:r>
      <w:br/>
      <w:r>
        <w:rPr>
          <w:sz w:val="24"/>
          <w:szCs w:val="24"/>
        </w:rPr>
        <w:t xml:space="preserve">Bitumenspachtel aus Sektor 35 benötigt ein professionelles Sanierungsverfahren, welches ausschliesslich von zertifizierten Schadstoffsanierern durchgeführt werden darf. Es muss gemäss Richtlinien 45079 behandelt und mit dem LVA Code 17 03 80ab wegschaft werden und hat eine Menge von 500 kg.</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WC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WC
</w:t>
            </w:r>
          </w:p>
          <w:p>
            <w:pPr/>
            <w:r>
              <w:rPr/>
              <w:t xml:space="preserve">EG
</w:t>
            </w:r>
          </w:p>
          <w:p>
            <w:pPr/>
            <w:r>
              <w:rPr/>
              <w:t xml:space="preserve">Decke
</w:t>
            </w:r>
          </w:p>
        </w:tc>
        <w:tc>
          <w:tcPr>
            <w:shd w:val="clear" w:fill="red"/>
            <w:noWrap/>
          </w:tcPr>
          <w:p>
            <w:pPr/>
            <w:r>
              <w:rPr/>
              <w:t xml:space="preserve">VM-2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VM-3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Küche
</w:t>
            </w:r>
          </w:p>
          <w:p>
            <w:pPr/>
            <w:r>
              <w:rPr/>
              <w:t xml:space="preserve">EG
</w:t>
            </w:r>
          </w:p>
          <w:p>
            <w:pPr/>
            <w:r>
              <w:rPr/>
              <w:t xml:space="preserve">Decke
</w:t>
            </w:r>
          </w:p>
        </w:tc>
        <w:tc>
          <w:tcPr>
            <w:shd w:val="clear" w:fill="red"/>
            <w:noWrap/>
          </w:tcPr>
          <w:p>
            <w:pPr/>
            <w:r>
              <w:rPr/>
              <w:t xml:space="preserve">VM-4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Bad
</w:t>
            </w:r>
          </w:p>
          <w:p>
            <w:pPr/>
            <w:r>
              <w:rPr/>
              <w:t xml:space="preserve">OG
</w:t>
            </w:r>
          </w:p>
          <w:p>
            <w:pPr/>
            <w:r>
              <w:rPr/>
              <w:t xml:space="preserve">Wand
</w:t>
            </w:r>
          </w:p>
        </w:tc>
        <w:tc>
          <w:tcPr>
            <w:shd w:val="clear" w:fill="red"/>
            <w:noWrap/>
          </w:tcPr>
          <w:p>
            <w:pPr/>
            <w:r>
              <w:rPr/>
              <w:t xml:space="preserve">VM-5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MaP-6</w:t>
            </w:r>
          </w:p>
        </w:tc>
        <w:tc>
          <w:tcPr>
            <w:shd w:val="clear" w:fill="red"/>
            <w:noWrap/>
          </w:tcPr>
          <w:p>
            <w:pPr/>
            <w:r>
              <w:rPr/>
              <w:t xml:space="preserve">Bad
</w:t>
            </w:r>
          </w:p>
          <w:p>
            <w:pPr/>
            <w:r>
              <w:rPr/>
              <w:t xml:space="preserve">OG
</w:t>
            </w:r>
          </w:p>
          <w:p>
            <w:pPr/>
            <w:r>
              <w:rPr/>
              <w:t xml:space="preserve">Boden
</w:t>
            </w:r>
          </w:p>
        </w:tc>
        <w:tc>
          <w:tcPr>
            <w:shd w:val="clear" w:fill="red"/>
            <w:noWrap/>
          </w:tcPr>
          <w:p>
            <w:pPr/>
            <w:r>
              <w:rPr/>
              <w:t xml:space="preserve">VM-6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r>
        <w:trPr/>
        <w:tc>
          <w:tcPr>
            <w:shd w:val="clear" w:fill="red"/>
            <w:noWrap/>
          </w:tcPr>
          <w:p>
            <w:pPr/>
            <w:r>
              <w:rPr/>
              <w:t xml:space="preserve">MaP-7</w:t>
            </w:r>
          </w:p>
        </w:tc>
        <w:tc>
          <w:tcPr>
            <w:shd w:val="clear" w:fill="red"/>
            <w:noWrap/>
          </w:tcPr>
          <w:p>
            <w:pPr/>
            <w:r>
              <w:rPr/>
              <w:t xml:space="preserve">Schlafzimmer / Gang / Büro
</w:t>
            </w:r>
          </w:p>
          <w:p>
            <w:pPr/>
            <w:r>
              <w:rPr/>
              <w:t xml:space="preserve">OG- DG
</w:t>
            </w:r>
          </w:p>
          <w:p>
            <w:pPr/>
            <w:r>
              <w:rPr/>
              <w:t xml:space="preserve">Boden
</w:t>
            </w:r>
          </w:p>
        </w:tc>
        <w:tc>
          <w:tcPr>
            <w:shd w:val="clear" w:fill="red"/>
            <w:noWrap/>
          </w:tcPr>
          <w:p>
            <w:pPr/>
            <w:r>
              <w:rPr/>
              <w:t xml:space="preserve">VM-7
</w:t>
            </w:r>
          </w:p>
          <w:p>
            <w:pPr/>
            <w:r>
              <w:rPr/>
              <w:t xml:space="preserve">Klebstoffe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9" o:title=""/>
                </v:shape>
              </w:pict>
              <w:t xml:space="preserve"/>
            </w:r>
          </w:p>
        </w:tc>
        <w:tc>
          <w:tcPr>
            <w:shd w:val="clear" w:fill="red"/>
            <w:noWrap/>
          </w:tcPr>
          <w:p>
            <w:pPr/>
            <w:r>
              <w:rPr/>
              <w:t xml:space="preserve"/>
              <w:pict>
                <v:shape type="#_x0000_t75" style="width:100px;height:150px" stroked="f" filled="f">
                  <v:imagedata r:id="rId3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 Id="rId30" Type="http://schemas.openxmlformats.org/officeDocument/2006/relationships/image" Target="media/image_rId3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