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Steinbüntli 4, 8888 Mels,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417</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536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Jasmin Benato</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Jasmin Benato</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27.10.2025 07:19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27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MaP-7</w:t>
            </w:r>
          </w:p>
        </w:tc>
        <w:tc>
          <w:tcPr>
            <w:noWrap/>
          </w:tcPr>
          <w:p>
            <w:pPr/>
            <w:r>
              <w:rPr/>
              <w:t xml:space="preserve">Eingang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MaP-13</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Gang
</w:t>
            </w:r>
          </w:p>
          <w:p>
            <w:pPr/>
            <w:r>
              <w:rPr/>
              <w:t xml:space="preserve">OG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Garage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Gartenhaus
</w:t>
            </w:r>
          </w:p>
          <w:p>
            <w:pPr/>
            <w:r>
              <w:rPr/>
              <w:t xml:space="preserve">EG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Dach
</w:t>
            </w:r>
          </w:p>
          <w:p>
            <w:pPr/>
            <w:r>
              <w:rPr/>
              <w:t xml:space="preserve">DG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MaP-7</w:t>
            </w:r>
          </w:p>
        </w:tc>
        <w:tc>
          <w:tcPr>
            <w:noWrap/>
          </w:tcPr>
          <w:p>
            <w:pPr/>
            <w:r>
              <w:rPr/>
              <w:t xml:space="preserve">Plattenkleber</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MaP-13</w:t>
            </w:r>
          </w:p>
        </w:tc>
        <w:tc>
          <w:tcPr>
            <w:noWrap/>
          </w:tcPr>
          <w:p>
            <w:pPr/>
            <w:r>
              <w:rPr/>
              <w:t xml:space="preserve">(elastische) Bodenbeläge</w:t>
            </w:r>
          </w:p>
        </w:tc>
        <w:tc>
          <w:tcPr>
            <w:noWrap/>
          </w:tcPr>
          <w:p>
            <w:pPr/>
            <w:r>
              <w:rPr/>
              <w:t xml:space="preserve">6</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11</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Plattenkleber</w:t>
      </w:r>
      <w:r>
        <w:rPr>
          <w:sz w:val="24"/>
          <w:szCs w:val="24"/>
        </w:rPr>
        <w:t xml:space="preserve"> aus MaP-7 kann durch Schadstoffsanierer gemäss EKAS 6503 Kap. 7 rückgebaut werden und ist mit dem LVA Code 17 06 05 S zu entsorgen.</w:t>
      </w:r>
      <w:br/>
      <w:r>
        <w:rPr>
          <w:sz w:val="24"/>
          <w:szCs w:val="24"/>
        </w:rPr>
        <w:t xml:space="preserve"/>
      </w:r>
      <w:br/>
      <w:r>
        <w:rPr>
          <w:sz w:val="24"/>
          <w:szCs w:val="24"/>
          <w:b w:val="1"/>
          <w:bCs w:val="1"/>
        </w:rPr>
        <w:t xml:space="preserve"/>
      </w:r>
      <w:r>
        <w:rPr>
          <w:sz w:val="24"/>
          <w:szCs w:val="24"/>
          <w:b w:val="1"/>
          <w:bCs w:val="1"/>
        </w:rPr>
        <w:t xml:space="preserve">(Elastische) Bodenbeläge</w:t>
      </w:r>
      <w:r>
        <w:rPr>
          <w:sz w:val="24"/>
          <w:szCs w:val="24"/>
        </w:rPr>
        <w:t xml:space="preserve"> aus MaP-13 können von instruierte Handwerker unter Einhaltung der Richtlinien 33049 rückgebaut werden und müssen mit dem LVA Code 17 06 98 nk entsorgt werden.</w:t>
      </w:r>
      <w:br/>
      <w:r>
        <w:rPr>
          <w:sz w:val="24"/>
          <w:szCs w:val="24"/>
        </w:rPr>
        <w:t xml:space="preserve"/>
      </w:r>
      <w:br/>
      <w:r>
        <w:rPr>
          <w:sz w:val="24"/>
          <w:szCs w:val="24"/>
          <w:b w:val="1"/>
          <w:bCs w:val="1"/>
        </w:rPr>
        <w:t xml:space="preserve"/>
      </w:r>
      <w:r>
        <w:rPr>
          <w:sz w:val="24"/>
          <w:szCs w:val="24"/>
          <w:b w:val="1"/>
          <w:bCs w:val="1"/>
        </w:rPr>
        <w:t xml:space="preserve">LAP</w:t>
      </w:r>
      <w:r>
        <w:rPr>
          <w:sz w:val="24"/>
          <w:szCs w:val="24"/>
        </w:rPr>
        <w:t xml:space="preserve"> aus VB-1 und VB-2 können von Schadstoffsanierer nach den Richtlinien 33036 rückgebaut werden und sind unter dem LVA Code 17 06 05 S zu entsorgen.</w:t>
      </w:r>
      <w:br/>
      <w:r>
        <w:rPr>
          <w:sz w:val="24"/>
          <w:szCs w:val="24"/>
        </w:rPr>
        <w:t xml:space="preserve"/>
      </w:r>
      <w:br/>
      <w:r>
        <w:rPr>
          <w:sz w:val="24"/>
          <w:szCs w:val="24"/>
          <w:b w:val="1"/>
          <w:bCs w:val="1"/>
        </w:rPr>
        <w:t xml:space="preserve"/>
      </w:r>
      <w:r>
        <w:rPr>
          <w:sz w:val="24"/>
          <w:szCs w:val="24"/>
          <w:b w:val="1"/>
          <w:bCs w:val="1"/>
        </w:rPr>
        <w:t xml:space="preserve">Faserzement</w:t>
      </w:r>
      <w:r>
        <w:rPr>
          <w:sz w:val="24"/>
          <w:szCs w:val="24"/>
        </w:rPr>
        <w:t xml:space="preserve"> aus VB-3 und VB-4 kann durch instruierte Handwerker unter Beachtung der Richtlinien 33031 rückgebaut werden und ist mit dem LVA Code 17 06 98 nk bei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Gesamtes
</w:t>
            </w:r>
          </w:p>
          <w:p>
            <w:pPr/>
            <w:r>
              <w:rPr/>
              <w:t xml:space="preserve">OG
</w:t>
            </w:r>
          </w:p>
          <w:p>
            <w:pPr/>
            <w:r>
              <w:rPr/>
              <w:t xml:space="preserve">Wand
</w:t>
            </w:r>
          </w:p>
        </w:tc>
        <w:tc>
          <w:tcPr>
            <w:shd w:val="clear" w:fill="red"/>
            <w:noWrap/>
          </w:tcPr>
          <w:p>
            <w:pPr/>
            <w:r>
              <w:rPr/>
              <w:t xml:space="preserve">VM-4
</w:t>
            </w:r>
          </w:p>
          <w:p>
            <w:pPr/>
            <w:r>
              <w:rPr/>
              <w:t xml:space="preserve">Klebstoffe
</w:t>
            </w:r>
          </w:p>
          <w:p>
            <w:pPr/>
            <w:r>
              <w:rPr/>
              <w:t xml:space="preserve">Tapete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Treppenhaus / Gang
</w:t>
            </w:r>
          </w:p>
          <w:p>
            <w:pPr/>
            <w:r>
              <w:rPr/>
              <w:t xml:space="preserve">OG - EG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Treppenhaus / Gang
</w:t>
            </w:r>
          </w:p>
          <w:p>
            <w:pPr/>
            <w:r>
              <w:rPr/>
              <w:t xml:space="preserve">OG - EG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Eingang
</w:t>
            </w:r>
          </w:p>
          <w:p>
            <w:pPr/>
            <w:r>
              <w:rPr/>
              <w:t xml:space="preserve">EG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green"/>
            <w:noWrap/>
          </w:tcPr>
          <w:p>
            <w:pPr/>
            <w:r>
              <w:rPr/>
              <w:t xml:space="preserve">MaP-12</w:t>
            </w:r>
          </w:p>
        </w:tc>
        <w:tc>
          <w:tcPr>
            <w:shd w:val="clear" w:fill="green"/>
            <w:noWrap/>
          </w:tcPr>
          <w:p>
            <w:pPr/>
            <w:r>
              <w:rPr/>
              <w:t xml:space="preserve">Küche
</w:t>
            </w:r>
          </w:p>
          <w:p>
            <w:pPr/>
            <w:r>
              <w:rPr/>
              <w:t xml:space="preserve">EG
</w:t>
            </w:r>
          </w:p>
          <w:p>
            <w:pPr/>
            <w:r>
              <w:rPr/>
              <w:t xml:space="preserve">Boden
</w:t>
            </w:r>
          </w:p>
        </w:tc>
        <w:tc>
          <w:tcPr>
            <w:shd w:val="clear" w:fill="green"/>
            <w:noWrap/>
          </w:tcPr>
          <w:p>
            <w:pPr/>
            <w:r>
              <w:rPr/>
              <w:t xml:space="preserve">VM-13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1" o:title=""/>
                </v:shape>
              </w:pict>
              <w:t xml:space="preserve"/>
            </w:r>
          </w:p>
        </w:tc>
        <w:tc>
          <w:tcPr>
            <w:shd w:val="clear" w:fill="green"/>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MaP-13</w:t>
            </w:r>
          </w:p>
        </w:tc>
        <w:tc>
          <w:tcPr>
            <w:shd w:val="clear" w:fill="orange"/>
            <w:noWrap/>
          </w:tcPr>
          <w:p>
            <w:pPr/>
            <w:r>
              <w:rPr/>
              <w:t xml:space="preserve">Küche
</w:t>
            </w:r>
          </w:p>
          <w:p>
            <w:pPr/>
            <w:r>
              <w:rPr/>
              <w:t xml:space="preserve">EG
</w:t>
            </w:r>
          </w:p>
          <w:p>
            <w:pPr/>
            <w:r>
              <w:rPr/>
              <w:t xml:space="preserve">Boden
</w:t>
            </w:r>
          </w:p>
        </w:tc>
        <w:tc>
          <w:tcPr>
            <w:shd w:val="clear" w:fill="orange"/>
            <w:noWrap/>
          </w:tcPr>
          <w:p>
            <w:pPr/>
            <w:r>
              <w:rPr/>
              <w:t xml:space="preserve">VM-14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VM-15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Dusche
</w:t>
            </w:r>
          </w:p>
          <w:p>
            <w:pPr/>
            <w:r>
              <w:rPr/>
              <w:t xml:space="preserve">EG
</w:t>
            </w:r>
          </w:p>
          <w:p>
            <w:pPr/>
            <w:r>
              <w:rPr/>
              <w:t xml:space="preserve">Boden
</w:t>
            </w:r>
          </w:p>
        </w:tc>
        <w:tc>
          <w:tcPr>
            <w:shd w:val="clear" w:fill="red"/>
            <w:noWrap/>
          </w:tcPr>
          <w:p>
            <w:pPr/>
            <w:r>
              <w:rPr/>
              <w:t xml:space="preserve">VM-16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green"/>
            <w:noWrap/>
          </w:tcPr>
          <w:p>
            <w:pPr/>
            <w:r>
              <w:rPr/>
              <w:t xml:space="preserve">MaP-16</w:t>
            </w:r>
          </w:p>
        </w:tc>
        <w:tc>
          <w:tcPr>
            <w:shd w:val="clear" w:fill="green"/>
            <w:noWrap/>
          </w:tcPr>
          <w:p>
            <w:pPr/>
            <w:r>
              <w:rPr/>
              <w:t xml:space="preserve">Reduit
</w:t>
            </w:r>
          </w:p>
          <w:p>
            <w:pPr/>
            <w:r>
              <w:rPr/>
              <w:t xml:space="preserve">EG
</w:t>
            </w:r>
          </w:p>
          <w:p>
            <w:pPr/>
            <w:r>
              <w:rPr/>
              <w:t xml:space="preserve">Boden
</w:t>
            </w:r>
          </w:p>
        </w:tc>
        <w:tc>
          <w:tcPr>
            <w:shd w:val="clear" w:fill="green"/>
            <w:noWrap/>
          </w:tcPr>
          <w:p>
            <w:pPr/>
            <w:r>
              <w:rPr/>
              <w:t xml:space="preserve">VM-17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9" o:title=""/>
                </v:shape>
              </w:pict>
              <w:t xml:space="preserve"/>
            </w:r>
          </w:p>
        </w:tc>
        <w:tc>
          <w:tcPr>
            <w:shd w:val="clear" w:fill="green"/>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Gesamtes UG
</w:t>
            </w:r>
          </w:p>
          <w:p>
            <w:pPr/>
            <w:r>
              <w:rPr/>
              <w:t xml:space="preserve">UG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MaP-18</w:t>
            </w:r>
          </w:p>
        </w:tc>
        <w:tc>
          <w:tcPr>
            <w:shd w:val="clear" w:fill="red"/>
            <w:noWrap/>
          </w:tcPr>
          <w:p>
            <w:pPr/>
            <w:r>
              <w:rPr/>
              <w:t xml:space="preserve">Heizraum
</w:t>
            </w:r>
          </w:p>
          <w:p>
            <w:pPr/>
            <w:r>
              <w:rPr/>
              <w:t xml:space="preserve">UG
</w:t>
            </w:r>
          </w:p>
          <w:p>
            <w:pPr/>
            <w:r>
              <w:rPr/>
              <w:t xml:space="preserve">Wand / Boden
</w:t>
            </w:r>
          </w:p>
        </w:tc>
        <w:tc>
          <w:tcPr>
            <w:shd w:val="clear" w:fill="red"/>
            <w:noWrap/>
          </w:tcPr>
          <w:p>
            <w:pPr/>
            <w:r>
              <w:rPr/>
              <w:t xml:space="preserve">VM-20
</w:t>
            </w:r>
          </w:p>
          <w:p>
            <w:pPr/>
            <w:r>
              <w:rPr/>
              <w:t xml:space="preserve">Plattenkleber
</w:t>
            </w:r>
          </w:p>
          <w:p>
            <w:pPr/>
            <w:r>
              <w:rPr/>
              <w:t xml:space="preserve">Boden / 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VM-21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MaP-20</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VM-22
</w:t>
            </w:r>
          </w:p>
          <w:p>
            <w:pPr/>
            <w:r>
              <w:rPr/>
              <w:t xml:space="preserve">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VB-1</w:t>
            </w:r>
          </w:p>
        </w:tc>
        <w:tc>
          <w:tcPr>
            <w:shd w:val="clear" w:fill="red"/>
            <w:noWrap/>
          </w:tcPr>
          <w:p>
            <w:pPr/>
            <w:r>
              <w:rPr/>
              <w:t xml:space="preserve">Gang
</w:t>
            </w:r>
          </w:p>
          <w:p>
            <w:pPr/>
            <w:r>
              <w:rPr/>
              <w:t xml:space="preserve">OG
</w:t>
            </w:r>
          </w:p>
          <w:p>
            <w:pPr/>
            <w:r>
              <w:rPr/>
              <w:t xml:space="preserve">Elektrotableau
</w:t>
            </w:r>
          </w:p>
        </w:tc>
        <w:tc>
          <w:tcPr>
            <w:shd w:val="clear" w:fill="red"/>
            <w:noWrap/>
          </w:tcPr>
          <w:p>
            <w:pPr/>
            <w:r>
              <w:rPr/>
              <w:t xml:space="preserve">VM-3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VB-2</w:t>
            </w:r>
          </w:p>
        </w:tc>
        <w:tc>
          <w:tcPr>
            <w:shd w:val="clear" w:fill="red"/>
            <w:noWrap/>
          </w:tcPr>
          <w:p>
            <w:pPr/>
            <w:r>
              <w:rPr/>
              <w:t xml:space="preserve">Garage
</w:t>
            </w:r>
          </w:p>
          <w:p>
            <w:pPr/>
            <w:r>
              <w:rPr/>
              <w:t xml:space="preserve">UG
</w:t>
            </w:r>
          </w:p>
          <w:p>
            <w:pPr/>
            <w:r>
              <w:rPr/>
              <w:t xml:space="preserve">Elektrotableau
</w:t>
            </w:r>
          </w:p>
        </w:tc>
        <w:tc>
          <w:tcPr>
            <w:shd w:val="clear" w:fill="red"/>
            <w:noWrap/>
          </w:tcPr>
          <w:p>
            <w:pPr/>
            <w:r>
              <w:rPr/>
              <w:t xml:space="preserve">VM-18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VB-3</w:t>
            </w:r>
          </w:p>
        </w:tc>
        <w:tc>
          <w:tcPr>
            <w:shd w:val="clear" w:fill="orange"/>
            <w:noWrap/>
          </w:tcPr>
          <w:p>
            <w:pPr/>
            <w:r>
              <w:rPr/>
              <w:t xml:space="preserve">Gartenhaus
</w:t>
            </w:r>
          </w:p>
          <w:p>
            <w:pPr/>
            <w:r>
              <w:rPr/>
              <w:t xml:space="preserve">EG
</w:t>
            </w:r>
          </w:p>
          <w:p>
            <w:pPr/>
            <w:r>
              <w:rPr/>
              <w:t xml:space="preserve">Dach
</w:t>
            </w:r>
          </w:p>
        </w:tc>
        <w:tc>
          <w:tcPr>
            <w:shd w:val="clear" w:fill="orange"/>
            <w:noWrap/>
          </w:tcPr>
          <w:p>
            <w:pPr/>
            <w:r>
              <w:rPr/>
              <w:t xml:space="preserve">VM-23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r>
        <w:trPr/>
        <w:tc>
          <w:tcPr>
            <w:shd w:val="clear" w:fill="orange"/>
            <w:noWrap/>
          </w:tcPr>
          <w:p>
            <w:pPr/>
            <w:r>
              <w:rPr/>
              <w:t xml:space="preserve">VB-4</w:t>
            </w:r>
          </w:p>
        </w:tc>
        <w:tc>
          <w:tcPr>
            <w:shd w:val="clear" w:fill="orange"/>
            <w:noWrap/>
          </w:tcPr>
          <w:p>
            <w:pPr/>
            <w:r>
              <w:rPr/>
              <w:t xml:space="preserve">Dach
</w:t>
            </w:r>
          </w:p>
          <w:p>
            <w:pPr/>
            <w:r>
              <w:rPr/>
              <w:t xml:space="preserve">DG
</w:t>
            </w:r>
          </w:p>
          <w:p>
            <w:pPr/>
            <w:r>
              <w:rPr/>
              <w:t xml:space="preserve">Dach
</w:t>
            </w:r>
          </w:p>
        </w:tc>
        <w:tc>
          <w:tcPr>
            <w:shd w:val="clear" w:fill="orange"/>
            <w:noWrap/>
          </w:tcPr>
          <w:p>
            <w:pPr/>
            <w:r>
              <w:rPr/>
              <w:t xml:space="preserve">VM-24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5" o:title=""/>
                </v:shape>
              </w:pict>
              <w:t xml:space="preserve"/>
            </w:r>
          </w:p>
        </w:tc>
        <w:tc>
          <w:tcPr>
            <w:shd w:val="clear" w:fill="orange"/>
            <w:noWrap/>
          </w:tcPr>
          <w:p>
            <w:pPr/>
            <w:r>
              <w:rPr/>
              <w:t xml:space="preserve"/>
              <w:pict>
                <v:shape type="#_x0000_t75" style="width:100px;height:150px" stroked="f" filled="f">
                  <v:imagedata r:id="rId6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