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Kernstrasse 4, 8180 Bülach,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529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Andrea Meier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Andrea Meier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08 October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aus Map 17 kann durch instruierte Handwerker unter Einhaltung der Richtlinien 33031 rückgebaut werden und ist mit dem LVA-Code 17 06 98nk in einer Deponie vom Typ B zu entsorgen.</w:t>
      </w:r>
      <w:br/>
      <w:r>
        <w:rPr>
          <w:sz w:val="24"/>
          <w:szCs w:val="24"/>
        </w:rPr>
        <w:t xml:space="preserve"/>
      </w:r>
      <w:br/>
      <w:r>
        <w:rPr>
          <w:sz w:val="24"/>
          <w:szCs w:val="24"/>
          <w:b w:val="1"/>
          <w:bCs w:val="1"/>
        </w:rPr>
        <w:t xml:space="preserve"/>
      </w:r>
      <w:r>
        <w:rPr>
          <w:sz w:val="24"/>
          <w:szCs w:val="24"/>
          <w:b w:val="1"/>
          <w:bCs w:val="1"/>
        </w:rPr>
        <w:t xml:space="preserve">Kunststoffbahn</w:t>
      </w:r>
      <w:r>
        <w:rPr>
          <w:sz w:val="24"/>
          <w:szCs w:val="24"/>
        </w:rPr>
        <w:t xml:space="preserve"> aus Map 18, die im Rückbau 3 kg beträgt, gehört in den Verantwortungsbereich von instruierten Handwerkern. Hierbei sind die Richtlinien 33033 einzuhalten und für die Entsorgung ist der LVA-Code 17 02 03 zu beachten.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Dusche
</w:t>
            </w:r>
          </w:p>
          <w:p>
            <w:pPr/>
            <w:r>
              <w:rPr/>
              <w:t xml:space="preserve">UG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Gang
</w:t>
            </w:r>
          </w:p>
          <w:p>
            <w:pPr/>
            <w:r>
              <w:rPr/>
              <w:t xml:space="preserve">UG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orange"/>
            <w:noWrap/>
          </w:tcPr>
          <w:p>
            <w:pPr/>
            <w:r>
              <w:rPr/>
              <w:t xml:space="preserve">MaP-3</w:t>
            </w:r>
          </w:p>
        </w:tc>
        <w:tc>
          <w:tcPr>
            <w:shd w:val="clear" w:fill="orange"/>
            <w:noWrap/>
          </w:tcPr>
          <w:p>
            <w:pPr/>
            <w:r>
              <w:rPr/>
              <w:t xml:space="preserve">Gang
</w:t>
            </w:r>
          </w:p>
          <w:p>
            <w:pPr/>
            <w:r>
              <w:rPr/>
              <w:t xml:space="preserve">UG
</w:t>
            </w:r>
          </w:p>
          <w:p>
            <w:pPr/>
            <w:r>
              <w:rPr/>
              <w:t xml:space="preserve">Boden
</w:t>
            </w:r>
          </w:p>
        </w:tc>
        <w:tc>
          <w:tcPr>
            <w:shd w:val="clear" w:fill="orange"/>
            <w:noWrap/>
          </w:tcPr>
          <w:p>
            <w:pPr/>
            <w:r>
              <w:rPr/>
              <w:t xml:space="preserve">VM-3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1" o:title=""/>
                </v:shape>
              </w:pict>
              <w:t xml:space="preserve"/>
            </w:r>
          </w:p>
        </w:tc>
        <w:tc>
          <w:tcPr>
            <w:shd w:val="clear" w:fill="orange"/>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