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zainzasweg 14, rodels</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528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Gugelmann</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Gugelmann</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13 October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Probe-ID:</w:t>
      </w:r>
      <w:r>
        <w:rPr>
          <w:sz w:val="24"/>
          <w:szCs w:val="24"/>
        </w:rPr>
        <w:t xml:space="preserve"> 17  </w:t>
      </w:r>
      <w:br/>
      <w:r>
        <w:rPr>
          <w:sz w:val="24"/>
          <w:szCs w:val="24"/>
          <w:b w:val="1"/>
          <w:bCs w:val="1"/>
        </w:rPr>
        <w:t xml:space="preserve"/>
      </w:r>
      <w:r>
        <w:rPr>
          <w:sz w:val="24"/>
          <w:szCs w:val="24"/>
          <w:b w:val="1"/>
          <w:bCs w:val="1"/>
        </w:rPr>
        <w:t xml:space="preserve">Material:</w:t>
      </w:r>
      <w:r>
        <w:rPr>
          <w:sz w:val="24"/>
          <w:szCs w:val="24"/>
        </w:rPr>
        <w:t xml:space="preserve"> Faserzement  </w:t>
      </w:r>
      <w:br/>
      <w:r>
        <w:rPr>
          <w:sz w:val="24"/>
          <w:szCs w:val="24"/>
        </w:rPr>
        <w:t xml:space="preserve">Faserzement kann durch instruierte Handwerker unter Einhaltung der Richtlinien 33031 rückgebaut werden. Es ist mit dem LVA-Code 17 06 98nk in einer Deponie des Typs B zu entsorgen.</w:t>
      </w:r>
      <w:br/>
      <w:r>
        <w:rPr>
          <w:sz w:val="24"/>
          <w:szCs w:val="24"/>
        </w:rPr>
        <w:t xml:space="preserve"/>
      </w:r>
      <w:br/>
      <w:r>
        <w:rPr>
          <w:sz w:val="24"/>
          <w:szCs w:val="24"/>
          <w:b w:val="1"/>
          <w:bCs w:val="1"/>
        </w:rPr>
        <w:t xml:space="preserve"/>
      </w:r>
      <w:r>
        <w:rPr>
          <w:sz w:val="24"/>
          <w:szCs w:val="24"/>
          <w:b w:val="1"/>
          <w:bCs w:val="1"/>
        </w:rPr>
        <w:t xml:space="preserve">Probe-ID:</w:t>
      </w:r>
      <w:r>
        <w:rPr>
          <w:sz w:val="24"/>
          <w:szCs w:val="24"/>
        </w:rPr>
        <w:t xml:space="preserve"> 19  </w:t>
      </w:r>
      <w:br/>
      <w:r>
        <w:rPr>
          <w:sz w:val="24"/>
          <w:szCs w:val="24"/>
          <w:b w:val="1"/>
          <w:bCs w:val="1"/>
        </w:rPr>
        <w:t xml:space="preserve"/>
      </w:r>
      <w:r>
        <w:rPr>
          <w:sz w:val="24"/>
          <w:szCs w:val="24"/>
          <w:b w:val="1"/>
          <w:bCs w:val="1"/>
        </w:rPr>
        <w:t xml:space="preserve">Material:</w:t>
      </w:r>
      <w:r>
        <w:rPr>
          <w:sz w:val="24"/>
          <w:szCs w:val="24"/>
        </w:rPr>
        <w:t xml:space="preserve"> Fugenmasse  </w:t>
      </w:r>
      <w:br/>
      <w:r>
        <w:rPr>
          <w:sz w:val="24"/>
          <w:szCs w:val="24"/>
        </w:rPr>
        <w:t xml:space="preserve">Fugenmasse kann durch instruierte Handwerker nach den Vorschriften der Richtlinien 33031 entfernt werden. Sie ist mit dem LVA-Code 17 06 98nk in einer Deponie des Typs B zu lagern.</w:t>
      </w:r>
      <w:br/>
      <w:r>
        <w:rPr>
          <w:sz w:val="24"/>
          <w:szCs w:val="24"/>
        </w:rPr>
        <w:t xml:space="preserve"/>
      </w:r>
      <w:br/>
      <w:r>
        <w:rPr>
          <w:sz w:val="24"/>
          <w:szCs w:val="24"/>
          <w:b w:val="1"/>
          <w:bCs w:val="1"/>
        </w:rPr>
        <w:t xml:space="preserve"/>
      </w:r>
      <w:r>
        <w:rPr>
          <w:sz w:val="24"/>
          <w:szCs w:val="24"/>
          <w:b w:val="1"/>
          <w:bCs w:val="1"/>
        </w:rPr>
        <w:t xml:space="preserve">Probe-ID:</w:t>
      </w:r>
      <w:r>
        <w:rPr>
          <w:sz w:val="24"/>
          <w:szCs w:val="24"/>
        </w:rPr>
        <w:t xml:space="preserve"> 04  </w:t>
      </w:r>
      <w:br/>
      <w:r>
        <w:rPr>
          <w:sz w:val="24"/>
          <w:szCs w:val="24"/>
          <w:b w:val="1"/>
          <w:bCs w:val="1"/>
        </w:rPr>
        <w:t xml:space="preserve"/>
      </w:r>
      <w:r>
        <w:rPr>
          <w:sz w:val="24"/>
          <w:szCs w:val="24"/>
          <w:b w:val="1"/>
          <w:bCs w:val="1"/>
        </w:rPr>
        <w:t xml:space="preserve">Material:</w:t>
      </w:r>
      <w:r>
        <w:rPr>
          <w:sz w:val="24"/>
          <w:szCs w:val="24"/>
        </w:rPr>
        <w:t xml:space="preserve"> Dichtungsmasse  </w:t>
      </w:r>
      <w:br/>
      <w:r>
        <w:rPr>
          <w:sz w:val="24"/>
          <w:szCs w:val="24"/>
        </w:rPr>
        <w:t xml:space="preserve">Der Rückbau von Dichtungsmasse sollte durch Schadstoffsanierer unter Beachtung der Sicherheitsrichtlinien ED 2000 erfolgen. Es muss mit dem LVA-Code 17 06 04u in einer Deponie Typ E entsorgt werden.</w:t>
      </w:r>
      <w:br/>
      <w:r>
        <w:rPr>
          <w:sz w:val="24"/>
          <w:szCs w:val="24"/>
        </w:rPr>
        <w:t xml:space="preserve"/>
      </w:r>
      <w:br/>
      <w:r>
        <w:rPr>
          <w:sz w:val="24"/>
          <w:szCs w:val="24"/>
          <w:b w:val="1"/>
          <w:bCs w:val="1"/>
        </w:rPr>
        <w:t xml:space="preserve"/>
      </w:r>
      <w:r>
        <w:rPr>
          <w:sz w:val="24"/>
          <w:szCs w:val="24"/>
          <w:b w:val="1"/>
          <w:bCs w:val="1"/>
        </w:rPr>
        <w:t xml:space="preserve">Probe-ID:</w:t>
      </w:r>
      <w:r>
        <w:rPr>
          <w:sz w:val="24"/>
          <w:szCs w:val="24"/>
        </w:rPr>
        <w:t xml:space="preserve"> 05  </w:t>
      </w:r>
      <w:br/>
      <w:r>
        <w:rPr>
          <w:sz w:val="24"/>
          <w:szCs w:val="24"/>
          <w:b w:val="1"/>
          <w:bCs w:val="1"/>
        </w:rPr>
        <w:t xml:space="preserve"/>
      </w:r>
      <w:r>
        <w:rPr>
          <w:sz w:val="24"/>
          <w:szCs w:val="24"/>
          <w:b w:val="1"/>
          <w:bCs w:val="1"/>
        </w:rPr>
        <w:t xml:space="preserve">Material:</w:t>
      </w:r>
      <w:r>
        <w:rPr>
          <w:sz w:val="24"/>
          <w:szCs w:val="24"/>
        </w:rPr>
        <w:t xml:space="preserve"> Schaumglas  </w:t>
      </w:r>
      <w:br/>
      <w:r>
        <w:rPr>
          <w:sz w:val="24"/>
          <w:szCs w:val="24"/>
        </w:rPr>
        <w:t xml:space="preserve">Schaumglas ist durch Schadstoffsanierer gemäss den Vorgaben der Sicherheitsrichtlinien AVV zu sanieren. Die Entsorgung erfolgt mit dem LVA-Code 17 06 04u in einer Deponie Typ E.</w:t>
      </w:r>
      <w:br/>
      <w:r>
        <w:rPr>
          <w:sz w:val="24"/>
          <w:szCs w:val="24"/>
        </w:rPr>
        <w:t xml:space="preserve"/>
      </w:r>
      <w:br/>
      <w:r>
        <w:rPr>
          <w:sz w:val="24"/>
          <w:szCs w:val="24"/>
          <w:b w:val="1"/>
          <w:bCs w:val="1"/>
        </w:rPr>
        <w:t xml:space="preserve"/>
      </w:r>
      <w:r>
        <w:rPr>
          <w:sz w:val="24"/>
          <w:szCs w:val="24"/>
          <w:b w:val="1"/>
          <w:bCs w:val="1"/>
        </w:rPr>
        <w:t xml:space="preserve">Probe-ID:</w:t>
      </w:r>
      <w:r>
        <w:rPr>
          <w:sz w:val="24"/>
          <w:szCs w:val="24"/>
        </w:rPr>
        <w:t xml:space="preserve"> 06  </w:t>
      </w:r>
      <w:br/>
      <w:r>
        <w:rPr>
          <w:sz w:val="24"/>
          <w:szCs w:val="24"/>
          <w:b w:val="1"/>
          <w:bCs w:val="1"/>
        </w:rPr>
        <w:t xml:space="preserve"/>
      </w:r>
      <w:r>
        <w:rPr>
          <w:sz w:val="24"/>
          <w:szCs w:val="24"/>
          <w:b w:val="1"/>
          <w:bCs w:val="1"/>
        </w:rPr>
        <w:t xml:space="preserve">Material:</w:t>
      </w:r>
      <w:r>
        <w:rPr>
          <w:sz w:val="24"/>
          <w:szCs w:val="24"/>
        </w:rPr>
        <w:t xml:space="preserve"> Spachtelmasse  </w:t>
      </w:r>
      <w:br/>
      <w:r>
        <w:rPr>
          <w:sz w:val="24"/>
          <w:szCs w:val="24"/>
        </w:rPr>
        <w:t xml:space="preserve">Spachtelmasse muss durch Schadstoffsanierer entfernt werden, wobei die Richtlinien AVV zu befolgen sind. Sie ist unter dem LVA-Code 17 06 04u auf einer Deponie Typ E zu deponieren.</w:t>
      </w:r>
      <w:br/>
      <w:r>
        <w:rPr>
          <w:sz w:val="24"/>
          <w:szCs w:val="24"/>
        </w:rPr>
        <w:t xml:space="preserve"/>
      </w:r>
      <w:br/>
      <w:r>
        <w:rPr>
          <w:sz w:val="24"/>
          <w:szCs w:val="24"/>
          <w:b w:val="1"/>
          <w:bCs w:val="1"/>
        </w:rPr>
        <w:t xml:space="preserve"/>
      </w:r>
      <w:r>
        <w:rPr>
          <w:sz w:val="24"/>
          <w:szCs w:val="24"/>
          <w:b w:val="1"/>
          <w:bCs w:val="1"/>
        </w:rPr>
        <w:t xml:space="preserve">Probe-ID:</w:t>
      </w:r>
      <w:r>
        <w:rPr>
          <w:sz w:val="24"/>
          <w:szCs w:val="24"/>
        </w:rPr>
        <w:t xml:space="preserve"> 13  </w:t>
      </w:r>
      <w:br/>
      <w:r>
        <w:rPr>
          <w:sz w:val="24"/>
          <w:szCs w:val="24"/>
          <w:b w:val="1"/>
          <w:bCs w:val="1"/>
        </w:rPr>
        <w:t xml:space="preserve"/>
      </w:r>
      <w:r>
        <w:rPr>
          <w:sz w:val="24"/>
          <w:szCs w:val="24"/>
          <w:b w:val="1"/>
          <w:bCs w:val="1"/>
        </w:rPr>
        <w:t xml:space="preserve">Material:</w:t>
      </w:r>
      <w:r>
        <w:rPr>
          <w:sz w:val="24"/>
          <w:szCs w:val="24"/>
        </w:rPr>
        <w:t xml:space="preserve"> Elektronische Geräte  </w:t>
      </w:r>
      <w:br/>
      <w:r>
        <w:rPr>
          <w:sz w:val="24"/>
          <w:szCs w:val="24"/>
        </w:rPr>
        <w:t xml:space="preserve">Elektronische Geräte sind von Schadstoffsanierern entsprechend den Sicherheitsrichtlinien 33030 zu sanieren. Die Abfallentsorgung sollte mit dem LVA-Code 20 01 35n in der Abgabestelle für Sonderabfälle erfolgen.</w:t>
      </w:r>
      <w:br/>
      <w:r>
        <w:rPr>
          <w:sz w:val="24"/>
          <w:szCs w:val="24"/>
        </w:rPr>
        <w:t xml:space="preserve"/>
      </w:r>
      <w:br/>
      <w:r>
        <w:rPr>
          <w:sz w:val="24"/>
          <w:szCs w:val="24"/>
          <w:b w:val="1"/>
          <w:bCs w:val="1"/>
        </w:rPr>
        <w:t xml:space="preserve"/>
      </w:r>
      <w:r>
        <w:rPr>
          <w:sz w:val="24"/>
          <w:szCs w:val="24"/>
          <w:b w:val="1"/>
          <w:bCs w:val="1"/>
        </w:rPr>
        <w:t xml:space="preserve">Probe-ID:</w:t>
      </w:r>
      <w:r>
        <w:rPr>
          <w:sz w:val="24"/>
          <w:szCs w:val="24"/>
        </w:rPr>
        <w:t xml:space="preserve"> 15  </w:t>
      </w:r>
      <w:br/>
      <w:r>
        <w:rPr>
          <w:sz w:val="24"/>
          <w:szCs w:val="24"/>
          <w:b w:val="1"/>
          <w:bCs w:val="1"/>
        </w:rPr>
        <w:t xml:space="preserve"/>
      </w:r>
      <w:r>
        <w:rPr>
          <w:sz w:val="24"/>
          <w:szCs w:val="24"/>
          <w:b w:val="1"/>
          <w:bCs w:val="1"/>
        </w:rPr>
        <w:t xml:space="preserve">Material:</w:t>
      </w:r>
      <w:r>
        <w:rPr>
          <w:sz w:val="24"/>
          <w:szCs w:val="24"/>
        </w:rPr>
        <w:t xml:space="preserve"> Faserzement  </w:t>
      </w:r>
      <w:br/>
      <w:r>
        <w:rPr>
          <w:sz w:val="24"/>
          <w:szCs w:val="24"/>
        </w:rPr>
        <w:t xml:space="preserve">Faserzement ist durch Schadstoffsanierer nach Massgabe der Richtlinien 33030 zu behandeln. Diese Materialien müssen mit dem LVA-Code 17 06 05c in einer Abgabestelle für Sonderabfälle entsorgt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Erdgeschoss
</w:t>
            </w:r>
          </w:p>
          <w:p>
            <w:pPr/>
            <w:r>
              <w:rPr/>
              <w:t xml:space="preserve">Boden
</w:t>
            </w:r>
          </w:p>
        </w:tc>
        <w:tc>
          <w:tcPr>
            <w:shd w:val="clear" w:fill="red"/>
            <w:noWrap/>
          </w:tcPr>
          <w:p>
            <w:pPr/>
            <w:r>
              <w:rPr/>
              <w:t xml:space="preserve">VM-1
</w:t>
            </w:r>
          </w:p>
          <w:p>
            <w:pPr/>
            <w:r>
              <w:rPr/>
              <w:t xml:space="preserve">Fliesenkleber
</w:t>
            </w:r>
          </w:p>
          <w:p>
            <w:pPr/>
            <w:r>
              <w:rPr/>
              <w:t xml:space="preserve">Bodenplatte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8" o:title=""/>
                </v:shape>
              </w:pict>
              <w:t xml:space="preserve"/>
            </w:r>
          </w:p>
        </w:tc>
        <w:tc>
          <w:tcPr>
            <w:shd w:val="clear" w:fill="red"/>
            <w:noWrap/>
          </w:tcPr>
          <w:p>
            <w:pPr/>
            <w:r>
              <w:rPr/>
              <w:t xml:space="preserve"/>
              <w:pict>
                <v:shape type="#_x0000_t75" style="width:100px;height:150px" stroked="f" filled="f">
                  <v:imagedata r:id="rId19"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Erdgeschoss
</w:t>
            </w:r>
          </w:p>
          <w:p>
            <w:pPr/>
            <w:r>
              <w:rPr/>
              <w:t xml:space="preserve">Wand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0" o:title=""/>
                </v:shape>
              </w:pict>
              <w:t xml:space="preserve"/>
            </w:r>
          </w:p>
        </w:tc>
        <w:tc>
          <w:tcPr>
            <w:shd w:val="clear" w:fill="red"/>
            <w:noWrap/>
          </w:tcPr>
          <w:p>
            <w:pPr/>
            <w:r>
              <w:rPr/>
              <w:t xml:space="preserve"/>
              <w:pict>
                <v:shape type="#_x0000_t75" style="width:100px;height:150px" stroked="f" filled="f">
                  <v:imagedata r:id="rId21" o:title=""/>
                </v:shape>
              </w:pict>
              <w:t xml:space="preserve"/>
            </w:r>
          </w:p>
        </w:tc>
      </w:tr>
      <w:tr>
        <w:trPr/>
        <w:tc>
          <w:tcPr>
            <w:shd w:val="clear" w:fill="red"/>
            <w:noWrap/>
          </w:tcPr>
          <w:p>
            <w:pPr/>
            <w:r>
              <w:rPr/>
              <w:t xml:space="preserve">MaP-3</w:t>
            </w:r>
          </w:p>
        </w:tc>
        <w:tc>
          <w:tcPr>
            <w:shd w:val="clear" w:fill="red"/>
            <w:noWrap/>
          </w:tcPr>
          <w:p>
            <w:pPr/>
            <w:r>
              <w:rPr/>
              <w:t xml:space="preserve">WC
</w:t>
            </w:r>
          </w:p>
          <w:p>
            <w:pPr/>
            <w:r>
              <w:rPr/>
              <w:t xml:space="preserve">Erdgeschoss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green"/>
            <w:noWrap/>
          </w:tcPr>
          <w:p>
            <w:pPr/>
            <w:r>
              <w:rPr/>
              <w:t xml:space="preserve">MaP-4</w:t>
            </w:r>
          </w:p>
        </w:tc>
        <w:tc>
          <w:tcPr>
            <w:shd w:val="clear" w:fill="green"/>
            <w:noWrap/>
          </w:tcPr>
          <w:p>
            <w:pPr/>
            <w:r>
              <w:rPr/>
              <w:t xml:space="preserve">Zimmer
</w:t>
            </w:r>
          </w:p>
          <w:p>
            <w:pPr/>
            <w:r>
              <w:rPr/>
              <w:t xml:space="preserve">Obergeschoss
</w:t>
            </w:r>
          </w:p>
        </w:tc>
        <w:tc>
          <w:tcPr>
            <w:shd w:val="clear" w:fill="green"/>
            <w:noWrap/>
          </w:tcPr>
          <w:p>
            <w:pPr/>
            <w:r>
              <w:rPr/>
              <w:t xml:space="preserve">VM-3
</w:t>
            </w:r>
          </w:p>
          <w:p>
            <w:pPr/>
            <w:r>
              <w:rPr/>
              <w:t xml:space="preserve">Parkett 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4" o:title=""/>
                </v:shape>
              </w:pict>
              <w:t xml:space="preserve"/>
            </w:r>
          </w:p>
        </w:tc>
        <w:tc>
          <w:tcPr>
            <w:shd w:val="clear" w:fill="green"/>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MaP-5</w:t>
            </w:r>
          </w:p>
        </w:tc>
        <w:tc>
          <w:tcPr>
            <w:shd w:val="clear" w:fill="red"/>
            <w:noWrap/>
          </w:tcPr>
          <w:p>
            <w:pPr/>
            <w:r>
              <w:rPr/>
              <w:t xml:space="preserve">Gang
</w:t>
            </w:r>
          </w:p>
          <w:p>
            <w:pPr/>
            <w:r>
              <w:rPr/>
              <w:t xml:space="preserve">Obergeschodd
</w:t>
            </w:r>
          </w:p>
          <w:p>
            <w:pPr/>
            <w:r>
              <w:rPr/>
              <w:t xml:space="preserve">Boden
</w:t>
            </w:r>
          </w:p>
        </w:tc>
        <w:tc>
          <w:tcPr>
            <w:shd w:val="clear" w:fill="red"/>
            <w:noWrap/>
          </w:tcPr>
          <w:p>
            <w:pPr/>
            <w:r>
              <w:rPr/>
              <w:t xml:space="preserve">VM-1
</w:t>
            </w:r>
          </w:p>
          <w:p>
            <w:pPr/>
            <w:r>
              <w:rPr/>
              <w:t xml:space="preserve">Fliesenkleber
</w:t>
            </w:r>
          </w:p>
          <w:p>
            <w:pPr/>
            <w:r>
              <w:rPr/>
              <w:t xml:space="preserve">Bodenplatte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MaP-6</w:t>
            </w:r>
          </w:p>
        </w:tc>
        <w:tc>
          <w:tcPr>
            <w:shd w:val="clear" w:fill="red"/>
            <w:noWrap/>
          </w:tcPr>
          <w:p>
            <w:pPr/>
            <w:r>
              <w:rPr/>
              <w:t xml:space="preserve">WC
</w:t>
            </w:r>
          </w:p>
          <w:p>
            <w:pPr/>
            <w:r>
              <w:rPr/>
              <w:t xml:space="preserve">Obergeschoss
</w:t>
            </w:r>
          </w:p>
        </w:tc>
        <w:tc>
          <w:tcPr>
            <w:shd w:val="clear" w:fill="red"/>
            <w:noWrap/>
          </w:tcPr>
          <w:p>
            <w:pPr/>
            <w:r>
              <w:rPr/>
              <w:t xml:space="preserve">VM-1
</w:t>
            </w:r>
          </w:p>
          <w:p>
            <w:pPr/>
            <w:r>
              <w:rPr/>
              <w:t xml:space="preserve">Fliesenkleber
</w:t>
            </w:r>
          </w:p>
          <w:p>
            <w:pPr/>
            <w:r>
              <w:rPr/>
              <w:t xml:space="preserve">Bodenplatte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MaP-7</w:t>
            </w:r>
          </w:p>
        </w:tc>
        <w:tc>
          <w:tcPr>
            <w:shd w:val="clear" w:fill="red"/>
            <w:noWrap/>
          </w:tcPr>
          <w:p>
            <w:pPr/>
            <w:r>
              <w:rPr/>
              <w:t xml:space="preserve">WC
</w:t>
            </w:r>
          </w:p>
          <w:p>
            <w:pPr/>
            <w:r>
              <w:rPr/>
              <w:t xml:space="preserve">Obergeschoss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MaP-8</w:t>
            </w:r>
          </w:p>
        </w:tc>
        <w:tc>
          <w:tcPr>
            <w:shd w:val="clear" w:fill="red"/>
            <w:noWrap/>
          </w:tcPr>
          <w:p>
            <w:pPr/>
            <w:r>
              <w:rPr/>
              <w:t xml:space="preserve">Küche
</w:t>
            </w:r>
          </w:p>
          <w:p>
            <w:pPr/>
            <w:r>
              <w:rPr/>
              <w:t xml:space="preserve">Obergeschoss
</w:t>
            </w:r>
          </w:p>
          <w:p>
            <w:pPr/>
            <w:r>
              <w:rPr/>
              <w:t xml:space="preserve">Boden
</w:t>
            </w:r>
          </w:p>
        </w:tc>
        <w:tc>
          <w:tcPr>
            <w:shd w:val="clear" w:fill="red"/>
            <w:noWrap/>
          </w:tcPr>
          <w:p>
            <w:pPr/>
            <w:r>
              <w:rPr/>
              <w:t xml:space="preserve">VM-1
</w:t>
            </w:r>
          </w:p>
          <w:p>
            <w:pPr/>
            <w:r>
              <w:rPr/>
              <w:t xml:space="preserve">Fliesenkleber
</w:t>
            </w:r>
          </w:p>
          <w:p>
            <w:pPr/>
            <w:r>
              <w:rPr/>
              <w:t xml:space="preserve">Bodenplatte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orange"/>
            <w:noWrap/>
          </w:tcPr>
          <w:p>
            <w:pPr/>
            <w:r>
              <w:rPr/>
              <w:t xml:space="preserve">VB-1</w:t>
            </w:r>
          </w:p>
        </w:tc>
        <w:tc>
          <w:tcPr>
            <w:shd w:val="clear" w:fill="orange"/>
            <w:noWrap/>
          </w:tcPr>
          <w:p>
            <w:pPr/>
            <w:r>
              <w:rPr/>
              <w:t xml:space="preserve">Zimmer
</w:t>
            </w:r>
          </w:p>
          <w:p>
            <w:pPr/>
            <w:r>
              <w:rPr/>
              <w:t xml:space="preserve">Obergeschoss
</w:t>
            </w:r>
          </w:p>
        </w:tc>
        <w:tc>
          <w:tcPr>
            <w:shd w:val="clear" w:fill="orange"/>
            <w:noWrap/>
          </w:tcPr>
          <w:p>
            <w:pPr/>
            <w:r>
              <w:rPr/>
              <w:t xml:space="preserve">VM-4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4" o:title=""/>
                </v:shape>
              </w:pict>
              <w:t xml:space="preserve"/>
            </w:r>
          </w:p>
        </w:tc>
        <w:tc>
          <w:tcPr>
            <w:shd w:val="clear" w:fill="orange"/>
            <w:noWrap/>
          </w:tcPr>
          <w:p>
            <w:pPr/>
            <w:r>
              <w:rPr/>
              <w:t xml:space="preserve"/>
              <w:pict>
                <v:shape type="#_x0000_t75" style="width:100px;height:150px" stroked="f" filled="f">
                  <v:imagedata r:id="rId3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