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Hüttenrain 12, Safenwil,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481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Rechnungsadresse: Arbenor Kdrija</w:t>
              <w:br/>
              <w:t>Bernstrasse 161c, 4852 rohtrist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Arbnor Kadrija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Arbnor Kadrija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Küche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OG und EG
</w:t>
            </w:r>
          </w:p>
        </w:tc>
        <w:tc>
          <w:tcPr>
            <w:noWrap/>
          </w:tcPr>
          <w:p>
            <w:pPr/>
            <w:r>
              <w:rPr/>
              <w:t xml:space="preserve"/>
            </w:r>
          </w:p>
        </w:tc>
        <w:tc>
          <w:tcPr>
            <w:noWrap/>
          </w:tcPr>
          <w:p>
            <w:pPr/>
            <w:r>
              <w:rPr/>
              <w:t xml:space="preserve">Sockelkleber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Unterdach
</w:t>
            </w:r>
          </w:p>
          <w:p>
            <w:pPr/>
            <w:r>
              <w:rPr/>
              <w:t xml:space="preserve">DG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Estrich
</w:t>
            </w:r>
          </w:p>
          <w:p>
            <w:pPr/>
            <w:r>
              <w:rPr/>
              <w:t xml:space="preserve">DG
</w:t>
            </w:r>
          </w:p>
        </w:tc>
        <w:tc>
          <w:tcPr>
            <w:noWrap/>
          </w:tcPr>
          <w:p>
            <w:pPr/>
            <w:r>
              <w:rPr/>
              <w:t xml:space="preserve">Estrichboden</w:t>
            </w:r>
          </w:p>
        </w:tc>
        <w:tc>
          <w:tcPr>
            <w:noWrap/>
          </w:tcPr>
          <w:p>
            <w:pPr/>
            <w:r>
              <w:rPr/>
              <w:t xml:space="preserve">Dämmung</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Estrich
</w:t>
            </w:r>
          </w:p>
          <w:p>
            <w:pPr/>
            <w:r>
              <w:rPr/>
              <w:t xml:space="preserve">DG
</w:t>
            </w:r>
          </w:p>
        </w:tc>
        <w:tc>
          <w:tcPr>
            <w:noWrap/>
          </w:tcPr>
          <w:p>
            <w:pPr/>
            <w:r>
              <w:rPr/>
              <w:t xml:space="preserve">Brandschutz</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Balkon
</w:t>
            </w:r>
          </w:p>
          <w:p>
            <w:pPr/>
            <w:r>
              <w:rPr/>
              <w:t xml:space="preserve">OG
</w:t>
            </w:r>
          </w:p>
        </w:tc>
        <w:tc>
          <w:tcPr>
            <w:noWrap/>
          </w:tcPr>
          <w:p>
            <w:pPr/>
            <w:r>
              <w:rPr/>
              <w:t xml:space="preserve"/>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Gang
</w:t>
            </w:r>
          </w:p>
          <w:p>
            <w:pPr/>
            <w:r>
              <w:rPr/>
              <w:t xml:space="preserve">EG
</w:t>
            </w:r>
          </w:p>
        </w:tc>
        <w:tc>
          <w:tcPr>
            <w:noWrap/>
          </w:tcPr>
          <w:p>
            <w:pPr/>
            <w:r>
              <w:rPr/>
              <w:t xml:space="preserve">Elektrotableau</w:t>
            </w:r>
          </w:p>
        </w:tc>
        <w:tc>
          <w:tcPr>
            <w:noWrap/>
          </w:tcPr>
          <w:p>
            <w:pPr/>
            <w:r>
              <w:rPr/>
              <w:t xml:space="preserve">Faserzement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Sockelkleber</w:t>
            </w:r>
          </w:p>
        </w:tc>
        <w:tc>
          <w:tcPr>
            <w:noWrap/>
          </w:tcPr>
          <w:p>
            <w:pPr/>
            <w:r>
              <w:rPr/>
              <w:t xml:space="preserve"/>
            </w:r>
          </w:p>
        </w:tc>
        <w:tc>
          <w:tcPr>
            <w:noWrap/>
          </w:tcPr>
          <w:p>
            <w:pPr/>
            <w:r>
              <w:rPr/>
              <w:t xml:space="preserve">3</w:t>
            </w:r>
          </w:p>
        </w:tc>
        <w:tc>
          <w:tcPr>
            <w:noWrap/>
          </w:tcPr>
          <w:p>
            <w:pPr/>
            <w:r>
              <w:rPr/>
              <w:t xml:space="preserve">33077 ggf. EKAS 6503</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Faserzement /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Material: Fliesenkleber enthält Asbest und muss von einem Schadstoffsanierer rückgebaut werden. Die Sanierung erfolgt nach den Richtlinien EKAS 6503 Kapitel 7 und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MaP-5</w:t>
      </w:r>
      <w:r>
        <w:rPr>
          <w:sz w:val="24"/>
          <w:szCs w:val="24"/>
        </w:rPr>
        <w:t xml:space="preserve">, Material: Fliesenkleber enthält Asbest und soll durch schadstoffspezialisierte Handwerker rückgebaut werden. Dabei sind die Vorgaben EKAS 6503 Kapitel 7 einzuhalten und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MaP-8</w:t>
      </w:r>
      <w:r>
        <w:rPr>
          <w:sz w:val="24"/>
          <w:szCs w:val="24"/>
        </w:rPr>
        <w:t xml:space="preserve">, Material: Sockelkleber wurde als asbesthaltig erkannt und muss von einem spezialisierten Sanierer bearbeitet werden. Die Richtlinien 33077 und gegebenenfalls EKAS 6503 sind zu befolgen, während die Entsorgung unter dem LVA-Code 17 06 05 S erfolgt.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Material: Faserzement kann durch instruierte Handwerker unter Beachtung der Richtlinien 33031 rückgebaut werden und ist auf einer Deponie Typ B mit dem LVA-Code 17 06 98 nk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Material: LAP enthält Asbest und ist durch Schadstoffsanierer zu entfernen. Die Arbeiten sind gemäss Richtlinie 33036 durchzuführen und die Entsorgung erfolgt gemäß dem LVA-Code 17 06 05 S.</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Material: Faserzement ist durch instruierte Handwerker unter Einhaltung der Vorgabe gemäss 33031 rückzubauen. Der anschliessende Entsorgungsprozess erfolgt mit dem LVA-Code 17 06 98 nk auf einer Deponie Typ B.</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Material: Faserzement / LAP ist als asbesthaltig identifiziert. Der Ausbau erfolgt durch zertifizierte Elektriker nach Vorgabe 88254, während die Materialtrennung einem Sanierunternehmen gemäss EKAS 6503 oder gegebenenfalls nach 33036 obliegt. Das Material ist mit dem LVA-Code 17 06 98 nk, eventuell auch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und 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OG und EG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OG und EG
</w:t>
            </w:r>
          </w:p>
        </w:tc>
        <w:tc>
          <w:tcPr>
            <w:shd w:val="clear" w:fill="red"/>
            <w:noWrap/>
          </w:tcPr>
          <w:p>
            <w:pPr/>
            <w:r>
              <w:rPr/>
              <w:t xml:space="preserve">VM-8
</w:t>
            </w:r>
          </w:p>
          <w:p>
            <w:pPr/>
            <w:r>
              <w:rPr/>
              <w:t xml:space="preserve">Sockelkleber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Zimmer
</w:t>
            </w:r>
          </w:p>
          <w:p>
            <w:pPr/>
            <w:r>
              <w:rPr/>
              <w:t xml:space="preserve">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VM-14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Zimmer
</w:t>
            </w:r>
          </w:p>
          <w:p>
            <w:pPr/>
            <w:r>
              <w:rPr/>
              <w:t xml:space="preserve">OG
</w:t>
            </w:r>
          </w:p>
        </w:tc>
        <w:tc>
          <w:tcPr>
            <w:shd w:val="clear" w:fill="red"/>
            <w:noWrap/>
          </w:tcPr>
          <w:p>
            <w:pPr/>
            <w:r>
              <w:rPr/>
              <w:t xml:space="preserve">VM-10
</w:t>
            </w:r>
          </w:p>
          <w:p>
            <w:pPr/>
            <w:r>
              <w:rPr/>
              <w:t xml:space="preserve">Teppichkleber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Treppenhaus und Gang
</w:t>
            </w:r>
          </w:p>
          <w:p>
            <w:pPr/>
            <w:r>
              <w:rPr/>
              <w:t xml:space="preserve">EG/OG
</w:t>
            </w:r>
          </w:p>
        </w:tc>
        <w:tc>
          <w:tcPr>
            <w:shd w:val="clear" w:fill="red"/>
            <w:noWrap/>
          </w:tcPr>
          <w:p>
            <w:pPr/>
            <w:r>
              <w:rPr/>
              <w:t xml:space="preserve">VM-15
</w:t>
            </w:r>
          </w:p>
          <w:p>
            <w:pPr/>
            <w:r>
              <w:rPr/>
              <w:t xml:space="preserve">Sockelkleber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MaP-13</w:t>
            </w:r>
          </w:p>
        </w:tc>
        <w:tc>
          <w:tcPr>
            <w:shd w:val="clear" w:fill="orange"/>
            <w:noWrap/>
          </w:tcPr>
          <w:p>
            <w:pPr/>
            <w:r>
              <w:rPr/>
              <w:t xml:space="preserve">Gang
</w:t>
            </w:r>
          </w:p>
          <w:p>
            <w:pPr/>
            <w:r>
              <w:rPr/>
              <w:t xml:space="preserve">EG
</w:t>
            </w:r>
          </w:p>
        </w:tc>
        <w:tc>
          <w:tcPr>
            <w:shd w:val="clear" w:fill="orange"/>
            <w:noWrap/>
          </w:tcPr>
          <w:p>
            <w:pPr/>
            <w:r>
              <w:rPr/>
              <w:t xml:space="preserve">VM-11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Gang und Zimmer
</w:t>
            </w:r>
          </w:p>
          <w:p>
            <w:pPr/>
            <w:r>
              <w:rPr/>
              <w:t xml:space="preserve">EG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Gang und Zimmer
</w:t>
            </w:r>
          </w:p>
          <w:p>
            <w:pPr/>
            <w:r>
              <w:rPr/>
              <w:t xml:space="preserve">EG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MaP-17</w:t>
            </w:r>
          </w:p>
        </w:tc>
        <w:tc>
          <w:tcPr>
            <w:shd w:val="clear" w:fill="green"/>
            <w:noWrap/>
          </w:tcPr>
          <w:p>
            <w:pPr/>
            <w:r>
              <w:rPr/>
              <w:t xml:space="preserve">Fassade
</w:t>
            </w:r>
          </w:p>
          <w:p>
            <w:pPr/>
            <w:r>
              <w:rPr/>
              <w:t xml:space="preserve">EG bis DG
</w:t>
            </w:r>
          </w:p>
        </w:tc>
        <w:tc>
          <w:tcPr>
            <w:shd w:val="clear" w:fill="green"/>
            <w:noWrap/>
          </w:tcPr>
          <w:p>
            <w:pPr/>
            <w:r>
              <w:rPr/>
              <w:t xml:space="preserve">VM-12
</w:t>
            </w:r>
          </w:p>
          <w:p>
            <w:pPr/>
            <w:r>
              <w:rPr/>
              <w:t xml:space="preserve">Faserplatten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 bis DG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VB-1</w:t>
            </w:r>
          </w:p>
        </w:tc>
        <w:tc>
          <w:tcPr>
            <w:shd w:val="clear" w:fill="orange"/>
            <w:noWrap/>
          </w:tcPr>
          <w:p>
            <w:pPr/>
            <w:r>
              <w:rPr/>
              <w:t xml:space="preserve">Unterdach
</w:t>
            </w:r>
          </w:p>
          <w:p>
            <w:pPr/>
            <w:r>
              <w:rPr/>
              <w:t xml:space="preserve">DG
</w:t>
            </w:r>
          </w:p>
        </w:tc>
        <w:tc>
          <w:tcPr>
            <w:shd w:val="clear" w:fill="orange"/>
            <w:noWrap/>
          </w:tcPr>
          <w:p>
            <w:pPr/>
            <w:r>
              <w:rPr/>
              <w:t xml:space="preserve">VM-1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VB-2</w:t>
            </w:r>
          </w:p>
        </w:tc>
        <w:tc>
          <w:tcPr>
            <w:shd w:val="clear" w:fill="green"/>
            <w:noWrap/>
          </w:tcPr>
          <w:p>
            <w:pPr/>
            <w:r>
              <w:rPr/>
              <w:t xml:space="preserve">Estrich
</w:t>
            </w:r>
          </w:p>
          <w:p>
            <w:pPr/>
            <w:r>
              <w:rPr/>
              <w:t xml:space="preserve">DG
</w:t>
            </w:r>
          </w:p>
        </w:tc>
        <w:tc>
          <w:tcPr>
            <w:shd w:val="clear" w:fill="green"/>
            <w:noWrap/>
          </w:tcPr>
          <w:p>
            <w:pPr/>
            <w:r>
              <w:rPr/>
              <w:t xml:space="preserve">VM-2
</w:t>
            </w:r>
          </w:p>
          <w:p>
            <w:pPr/>
            <w:r>
              <w:rPr/>
              <w:t xml:space="preserve">Dämmung
</w:t>
            </w:r>
          </w:p>
          <w:p>
            <w:pPr/>
            <w:r>
              <w:rPr/>
              <w:t xml:space="preserve">Estrichboden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VB-3</w:t>
            </w:r>
          </w:p>
        </w:tc>
        <w:tc>
          <w:tcPr>
            <w:shd w:val="clear" w:fill="red"/>
            <w:noWrap/>
          </w:tcPr>
          <w:p>
            <w:pPr/>
            <w:r>
              <w:rPr/>
              <w:t xml:space="preserve">Estrich
</w:t>
            </w:r>
          </w:p>
          <w:p>
            <w:pPr/>
            <w:r>
              <w:rPr/>
              <w:t xml:space="preserve">DG
</w:t>
            </w:r>
          </w:p>
        </w:tc>
        <w:tc>
          <w:tcPr>
            <w:shd w:val="clear" w:fill="red"/>
            <w:noWrap/>
          </w:tcPr>
          <w:p>
            <w:pPr/>
            <w:r>
              <w:rPr/>
              <w:t xml:space="preserve">VM-3
</w:t>
            </w:r>
          </w:p>
          <w:p>
            <w:pPr/>
            <w:r>
              <w:rPr/>
              <w:t xml:space="preserve">LAP
</w:t>
            </w:r>
          </w:p>
          <w:p>
            <w:pPr/>
            <w:r>
              <w:rPr/>
              <w:t xml:space="preserve">Brandschutz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VB-4</w:t>
            </w:r>
          </w:p>
        </w:tc>
        <w:tc>
          <w:tcPr>
            <w:shd w:val="clear" w:fill="orange"/>
            <w:noWrap/>
          </w:tcPr>
          <w:p>
            <w:pPr/>
            <w:r>
              <w:rPr/>
              <w:t xml:space="preserve">Balkon
</w:t>
            </w:r>
          </w:p>
          <w:p>
            <w:pPr/>
            <w:r>
              <w:rPr/>
              <w:t xml:space="preserve">OG
</w:t>
            </w:r>
          </w:p>
        </w:tc>
        <w:tc>
          <w:tcPr>
            <w:shd w:val="clear" w:fill="orange"/>
            <w:noWrap/>
          </w:tcPr>
          <w:p>
            <w:pPr/>
            <w:r>
              <w:rPr/>
              <w:t xml:space="preserve">VM-9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VB-5</w:t>
            </w:r>
          </w:p>
        </w:tc>
        <w:tc>
          <w:tcPr>
            <w:shd w:val="clear" w:fill="red"/>
            <w:noWrap/>
          </w:tcPr>
          <w:p>
            <w:pPr/>
            <w:r>
              <w:rPr/>
              <w:t xml:space="preserve">Gang
</w:t>
            </w:r>
          </w:p>
          <w:p>
            <w:pPr/>
            <w:r>
              <w:rPr/>
              <w:t xml:space="preserve">EG
</w:t>
            </w:r>
          </w:p>
        </w:tc>
        <w:tc>
          <w:tcPr>
            <w:shd w:val="clear" w:fill="red"/>
            <w:noWrap/>
          </w:tcPr>
          <w:p>
            <w:pPr/>
            <w:r>
              <w:rPr/>
              <w:t xml:space="preserve">VM-13
</w:t>
            </w:r>
          </w:p>
          <w:p>
            <w:pPr/>
            <w:r>
              <w:rPr/>
              <w:t xml:space="preserve">Faserzement / 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