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110, Gräslikon,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893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Mohler Severin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Mohler Severin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Faserzement kann durch instruierte Handwerker rückgebaut werden. Es erfordert die Einhaltung der Richtlinien 33031 und ist mit dem LVA Code 17 06 98nk auf einer Deponie Typ B zu entsorgen.</w:t>
      </w:r>
      <w:br/>
      <w:r>
        <w:rPr>
          <w:sz w:val="24"/>
          <w:szCs w:val="24"/>
        </w:rPr>
        <w:t xml:space="preserve"/>
      </w:r>
      <w:br/>
      <w:r>
        <w:rPr>
          <w:sz w:val="24"/>
          <w:szCs w:val="24"/>
          <w:b w:val="1"/>
          <w:bCs w:val="1"/>
        </w:rPr>
        <w:t xml:space="preserve"/>
      </w:r>
      <w:r>
        <w:rPr>
          <w:sz w:val="24"/>
          <w:szCs w:val="24"/>
          <w:b w:val="1"/>
          <w:bCs w:val="1"/>
        </w:rPr>
        <w:t xml:space="preserve">Probe-ID 25</w:t>
      </w:r>
      <w:r>
        <w:rPr>
          <w:sz w:val="24"/>
          <w:szCs w:val="24"/>
        </w:rPr>
        <w:t xml:space="preserve">  </w:t>
      </w:r>
      <w:br/>
      <w:r>
        <w:rPr>
          <w:sz w:val="24"/>
          <w:szCs w:val="24"/>
        </w:rPr>
        <w:t xml:space="preserve">Bitumendachpappe muss durch Schadstoffsanierer beseitigt werden. Dies sollte gemäss den Richtlinien 55678 erfolgen und das Material ist mit dem LVA Code 17 03 02dep auf einer Deponie Typ C zu deponieren.</w:t>
      </w:r>
      <w:br/>
      <w:r>
        <w:rPr>
          <w:sz w:val="24"/>
          <w:szCs w:val="24"/>
        </w:rPr>
        <w:t xml:space="preserve"/>
      </w:r>
      <w:br/>
      <w:r>
        <w:rPr>
          <w:sz w:val="24"/>
          <w:szCs w:val="24"/>
          <w:b w:val="1"/>
          <w:bCs w:val="1"/>
        </w:rPr>
        <w:t xml:space="preserve"/>
      </w:r>
      <w:r>
        <w:rPr>
          <w:sz w:val="24"/>
          <w:szCs w:val="24"/>
          <w:b w:val="1"/>
          <w:bCs w:val="1"/>
        </w:rPr>
        <w:t xml:space="preserve">Probe-ID 34</w:t>
      </w:r>
      <w:r>
        <w:rPr>
          <w:sz w:val="24"/>
          <w:szCs w:val="24"/>
        </w:rPr>
        <w:t xml:space="preserve">  </w:t>
      </w:r>
      <w:br/>
      <w:r>
        <w:rPr>
          <w:sz w:val="24"/>
          <w:szCs w:val="24"/>
        </w:rPr>
        <w:t xml:space="preserve">Mineralwolle kann durch instruierte Handwerker unter Beachtung der Normen rückgebaut werden. Dabei müssen die Richtlinien 44223 befolgt werden und es ist mit dem LVA Code 17 06 04nk auf einer Deponie Typ B zu entsorgen.</w:t>
      </w:r>
      <w:br/>
      <w:r>
        <w:rPr>
          <w:sz w:val="24"/>
          <w:szCs w:val="24"/>
        </w:rPr>
        <w:t xml:space="preserve"/>
      </w:r>
      <w:br/>
      <w:r>
        <w:rPr>
          <w:sz w:val="24"/>
          <w:szCs w:val="24"/>
          <w:b w:val="1"/>
          <w:bCs w:val="1"/>
        </w:rPr>
        <w:t xml:space="preserve"/>
      </w:r>
      <w:r>
        <w:rPr>
          <w:sz w:val="24"/>
          <w:szCs w:val="24"/>
          <w:b w:val="1"/>
          <w:bCs w:val="1"/>
        </w:rPr>
        <w:t xml:space="preserve">Probe-ID 48</w:t>
      </w:r>
      <w:r>
        <w:rPr>
          <w:sz w:val="24"/>
          <w:szCs w:val="24"/>
        </w:rPr>
        <w:t xml:space="preserve">  </w:t>
      </w:r>
      <w:br/>
      <w:r>
        <w:rPr>
          <w:sz w:val="24"/>
          <w:szCs w:val="24"/>
        </w:rPr>
        <w:t xml:space="preserve">Asbestzement erfordert den Rückbau durch Schadstoffsanierer. Die Sanierung sollte gemäss den Richtlinien 55210 erfolgen, wobei das Material mit dem LVA Code 17 06 05dep auf einer Deponie Typ C deponiert werden muss.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p>
            <w:pPr/>
            <w:r>
              <w:rPr/>
              <w:t xml:space="preserve">Kamin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MaP-11</w:t>
            </w:r>
          </w:p>
        </w:tc>
        <w:tc>
          <w:tcPr>
            <w:shd w:val="clear" w:fill="red"/>
            <w:noWrap/>
          </w:tcPr>
          <w:p>
            <w:pPr/>
            <w:r>
              <w:rPr/>
              <w:t xml:space="preserve">Räucherofen
</w:t>
            </w:r>
          </w:p>
          <w:p>
            <w:pPr/>
            <w:r>
              <w:rPr/>
              <w:t xml:space="preserve">Estrich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